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solid" w:color="FFFFFF" w:fill="FFFFFF"/>
        <w:spacing w:line="240" w:lineRule="atLeast"/>
        <w:jc w:val="right"/>
        <w:rPr>
          <w:rFonts w:ascii="Times New Roman" w:hAnsi="Times New Roman" w:eastAsia="黑体"/>
          <w:b/>
          <w:bCs/>
          <w:w w:val="130"/>
          <w:sz w:val="136"/>
          <w:szCs w:val="136"/>
        </w:rPr>
      </w:pPr>
      <w:r>
        <w:rPr>
          <w:rFonts w:ascii="Times New Roman" w:hAnsi="Times New Roman" w:eastAsia="黑体"/>
          <w:b/>
          <w:bCs/>
          <w:w w:val="130"/>
          <w:sz w:val="136"/>
          <w:szCs w:val="136"/>
        </w:rPr>
        <w:t>NY</w:t>
      </w:r>
    </w:p>
    <w:p>
      <w:pPr>
        <w:spacing w:line="240" w:lineRule="atLeast"/>
        <w:jc w:val="center"/>
        <w:rPr>
          <w:rFonts w:ascii="Times New Roman" w:hAnsi="Times New Roman" w:eastAsia="黑体"/>
          <w:sz w:val="52"/>
          <w:szCs w:val="52"/>
        </w:rPr>
      </w:pPr>
      <w:r>
        <w:rPr>
          <w:rFonts w:ascii="Times New Roman" w:hAnsi="Times New Roman"/>
          <w:szCs w:val="21"/>
        </w:rP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-311785</wp:posOffset>
                </wp:positionV>
                <wp:extent cx="2540000" cy="657860"/>
                <wp:effectExtent l="0" t="0" r="12700" b="8890"/>
                <wp:wrapNone/>
                <wp:docPr id="4" name="文本框 4"/>
                <wp:cNvGraphicFramePr/>
                <a:graphic xmlns:a="http://schemas.openxmlformats.org/drawingml/2006/main">
                  <a:graphicData uri="http://schemas.microsoft.com/office/word/2010/wordprocessingShape">
                    <wps:wsp>
                      <wps:cNvSpPr txBox="true">
                        <a:spLocks noChangeArrowheads="true"/>
                      </wps:cNvSpPr>
                      <wps:spPr bwMode="auto">
                        <a:xfrm>
                          <a:off x="0" y="0"/>
                          <a:ext cx="2540000" cy="657860"/>
                        </a:xfrm>
                        <a:prstGeom prst="rect">
                          <a:avLst/>
                        </a:prstGeom>
                        <a:solidFill>
                          <a:srgbClr val="FFFFFF"/>
                        </a:solidFill>
                        <a:ln>
                          <a:noFill/>
                        </a:ln>
                      </wps:spPr>
                      <wps:txbx>
                        <w:txbxContent>
                          <w:p>
                            <w:pPr>
                              <w:rPr>
                                <w:rFonts w:ascii="黑体" w:eastAsia="黑体"/>
                                <w:b/>
                                <w:bCs/>
                              </w:rPr>
                            </w:pPr>
                            <w:r>
                              <w:rPr>
                                <w:b/>
                                <w:bCs/>
                              </w:rPr>
                              <w:t xml:space="preserve">ICS 11.220 </w:t>
                            </w:r>
                          </w:p>
                          <w:p>
                            <w:pPr>
                              <w:pStyle w:val="34"/>
                            </w:pPr>
                            <w:r>
                              <w:rPr>
                                <w:rFonts w:asciiTheme="minorHAnsi" w:hAnsiTheme="minorHAnsi" w:eastAsiaTheme="minorEastAsia" w:cstheme="minorBidi"/>
                                <w:b/>
                                <w:bCs/>
                                <w:kern w:val="2"/>
                                <w:szCs w:val="22"/>
                              </w:rPr>
                              <w:t>CCS</w:t>
                            </w:r>
                            <w:r>
                              <w:rPr>
                                <w:rFonts w:ascii="黑体" w:cs="黑体"/>
                                <w:b/>
                                <w:bCs/>
                              </w:rPr>
                              <w:t xml:space="preserve"> B 42</w:t>
                            </w: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left:0pt;margin-top:-24.55pt;height:51.8pt;width:200pt;mso-position-horizontal-relative:margin;mso-position-vertical-relative:margin;z-index:251660288;mso-width-relative:page;mso-height-relative:page;" fillcolor="#FFFFFF" filled="t" stroked="f" coordsize="21600,21600" o:gfxdata="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Ur4L&#10;7dcAAAAHAQAADwAAAAAAAAABACAAAAA4AAAAZHJzL2Rvd25yZXYueG1sUEsBAhQAFAAAAAgAh07i&#10;QLRgwicNAgAA7QMAAA4AAAAAAAAAAQAgAAAAPAEAAGRycy9lMm9Eb2MueG1sUEsFBgAAAAAGAAYA&#10;WQEAALsFAAAAAA==&#10;">
                <v:fill on="t" focussize="0,0"/>
                <v:stroke on="f"/>
                <v:imagedata o:title=""/>
                <o:lock v:ext="edit" aspectratio="f"/>
                <v:textbox inset="0mm,0mm,0mm,0mm">
                  <w:txbxContent>
                    <w:p>
                      <w:pPr>
                        <w:rPr>
                          <w:rFonts w:ascii="黑体" w:eastAsia="黑体"/>
                          <w:b/>
                          <w:bCs/>
                        </w:rPr>
                      </w:pPr>
                      <w:r>
                        <w:rPr>
                          <w:b/>
                          <w:bCs/>
                        </w:rPr>
                        <w:t xml:space="preserve">ICS 11.220 </w:t>
                      </w:r>
                    </w:p>
                    <w:p>
                      <w:pPr>
                        <w:pStyle w:val="34"/>
                      </w:pPr>
                      <w:r>
                        <w:rPr>
                          <w:rFonts w:asciiTheme="minorHAnsi" w:hAnsiTheme="minorHAnsi" w:eastAsiaTheme="minorEastAsia" w:cstheme="minorBidi"/>
                          <w:b/>
                          <w:bCs/>
                          <w:kern w:val="2"/>
                          <w:szCs w:val="22"/>
                        </w:rPr>
                        <w:t>CCS</w:t>
                      </w:r>
                      <w:r>
                        <w:rPr>
                          <w:rFonts w:ascii="黑体" w:cs="黑体"/>
                          <w:b/>
                          <w:bCs/>
                        </w:rPr>
                        <w:t xml:space="preserve"> B 42</w:t>
                      </w:r>
                    </w:p>
                  </w:txbxContent>
                </v:textbox>
                <w10:anchorlock/>
              </v:shape>
            </w:pict>
          </mc:Fallback>
        </mc:AlternateContent>
      </w:r>
      <w:r>
        <w:rPr>
          <w:rFonts w:ascii="Times New Roman" w:hAnsi="Times New Roman" w:eastAsia="黑体"/>
          <w:sz w:val="52"/>
          <w:szCs w:val="52"/>
        </w:rPr>
        <w:t>中华人民共和国农业行业标准</w:t>
      </w:r>
    </w:p>
    <w:p>
      <w:pPr>
        <w:kinsoku w:val="0"/>
        <w:overflowPunct w:val="0"/>
        <w:autoSpaceDE w:val="0"/>
        <w:autoSpaceDN w:val="0"/>
        <w:spacing w:line="300" w:lineRule="exact"/>
        <w:jc w:val="right"/>
        <w:textAlignment w:val="center"/>
        <w:rPr>
          <w:rFonts w:ascii="Times New Roman" w:hAnsi="Times New Roman" w:eastAsia="黑体"/>
          <w:sz w:val="28"/>
          <w:szCs w:val="28"/>
        </w:rPr>
      </w:pPr>
      <w:r>
        <w:rPr>
          <w:rFonts w:ascii="Times New Roman" w:hAnsi="Times New Roman" w:eastAsia="黑体"/>
          <w:sz w:val="28"/>
          <w:szCs w:val="28"/>
        </w:rPr>
        <w:t>NY/T XXXXXX</w:t>
      </w:r>
      <w:r>
        <w:rPr>
          <w:rFonts w:hint="eastAsia" w:ascii="Times New Roman" w:hAnsi="Times New Roman" w:eastAsia="黑体"/>
          <w:sz w:val="28"/>
          <w:szCs w:val="28"/>
        </w:rPr>
        <w:t>—</w:t>
      </w:r>
      <w:r>
        <w:rPr>
          <w:rFonts w:ascii="Times New Roman" w:hAnsi="Times New Roman" w:eastAsia="黑体"/>
          <w:sz w:val="28"/>
          <w:szCs w:val="28"/>
        </w:rPr>
        <w:t>20XX</w:t>
      </w:r>
    </w:p>
    <w:p>
      <w:pPr>
        <w:ind w:right="840"/>
        <w:rPr>
          <w:rFonts w:ascii="Times New Roman" w:hAnsi="Times New Roman" w:eastAsia="黑体"/>
          <w:b/>
          <w:bCs/>
          <w:spacing w:val="20"/>
          <w:szCs w:val="21"/>
        </w:rPr>
      </w:pPr>
      <w:r>
        <w:rPr>
          <w:rFonts w:ascii="Times New Roman" w:hAnsi="Times New Roman"/>
          <w:szCs w:val="21"/>
        </w:rPr>
        <mc:AlternateContent>
          <mc:Choice Requires="wps">
            <w:drawing>
              <wp:anchor distT="0" distB="0" distL="114300" distR="114300" simplePos="0" relativeHeight="251661312" behindDoc="0" locked="1" layoutInCell="1" allowOverlap="1">
                <wp:simplePos x="0" y="0"/>
                <wp:positionH relativeFrom="column">
                  <wp:posOffset>0</wp:posOffset>
                </wp:positionH>
                <wp:positionV relativeFrom="paragraph">
                  <wp:posOffset>86360</wp:posOffset>
                </wp:positionV>
                <wp:extent cx="6121400" cy="635"/>
                <wp:effectExtent l="0" t="0" r="0" b="0"/>
                <wp:wrapNone/>
                <wp:docPr id="6" name="直接连接符 6"/>
                <wp:cNvGraphicFramePr/>
                <a:graphic xmlns:a="http://schemas.openxmlformats.org/drawingml/2006/main">
                  <a:graphicData uri="http://schemas.microsoft.com/office/word/2010/wordprocessingShape">
                    <wps:wsp>
                      <wps:cNvCnPr>
                        <a:cxnSpLocks noChangeShapeType="true"/>
                      </wps:cNvCnPr>
                      <wps:spPr bwMode="auto">
                        <a:xfrm>
                          <a:off x="0" y="0"/>
                          <a:ext cx="6121400" cy="635"/>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pt;margin-top:6.8pt;height:0.05pt;width:482pt;z-index:251661312;mso-width-relative:page;mso-height-relative:page;" filled="f" stroked="t" coordsize="21600,21600" o:gfxdata="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8zQZK1QAAAAYBAAAP&#10;AAAAAAAAAAEAIAAAADgAAABkcnMvZG93bnJldi54bWxQSwECFAAUAAAACACHTuJAMImHmMwBAABi&#10;AwAADgAAAAAAAAABACAAAAA6AQAAZHJzL2Uyb0RvYy54bWxQSwUGAAAAAAYABgBZAQAAeAUAAAAA&#10;">
                <v:fill on="f" focussize="0,0"/>
                <v:stroke weight="1pt" color="#000000" joinstyle="round"/>
                <v:imagedata o:title=""/>
                <o:lock v:ext="edit" aspectratio="f"/>
                <w10:anchorlock/>
              </v:line>
            </w:pict>
          </mc:Fallback>
        </mc:AlternateContent>
      </w:r>
    </w:p>
    <w:p>
      <w:pPr>
        <w:rPr>
          <w:rFonts w:ascii="Times New Roman" w:hAnsi="Times New Roman"/>
          <w:b/>
          <w:bCs/>
          <w:spacing w:val="20"/>
          <w:sz w:val="28"/>
          <w:szCs w:val="28"/>
          <w:u w:val="single"/>
        </w:rPr>
      </w:pPr>
    </w:p>
    <w:p>
      <w:pPr>
        <w:spacing w:line="560" w:lineRule="exact"/>
        <w:jc w:val="center"/>
        <w:rPr>
          <w:rFonts w:ascii="Times New Roman" w:hAnsi="Times New Roman" w:eastAsia="黑体"/>
          <w:spacing w:val="20"/>
          <w:sz w:val="52"/>
          <w:szCs w:val="52"/>
        </w:rPr>
      </w:pPr>
      <w:r>
        <w:rPr>
          <w:rFonts w:ascii="Times New Roman" w:hAnsi="Times New Roman" w:eastAsia="黑体"/>
          <w:spacing w:val="20"/>
          <w:sz w:val="52"/>
          <w:szCs w:val="52"/>
        </w:rPr>
        <w:t>动物</w:t>
      </w:r>
      <w:r>
        <w:rPr>
          <w:rFonts w:hint="eastAsia" w:ascii="Times New Roman" w:hAnsi="Times New Roman" w:eastAsia="黑体"/>
          <w:spacing w:val="20"/>
          <w:sz w:val="52"/>
          <w:szCs w:val="52"/>
          <w:lang w:eastAsia="zh-CN"/>
        </w:rPr>
        <w:t>氧疗舱</w:t>
      </w:r>
    </w:p>
    <w:p>
      <w:pPr>
        <w:spacing w:line="560" w:lineRule="exact"/>
        <w:jc w:val="center"/>
        <w:rPr>
          <w:rFonts w:ascii="Times New Roman" w:hAnsi="Times New Roman" w:eastAsia="黑体"/>
          <w:b/>
          <w:bCs/>
          <w:sz w:val="28"/>
          <w:szCs w:val="28"/>
          <w:lang w:val="en"/>
        </w:rPr>
      </w:pPr>
      <w:r>
        <w:rPr>
          <w:rFonts w:ascii="Times New Roman" w:hAnsi="Times New Roman" w:eastAsia="黑体"/>
          <w:b/>
          <w:bCs/>
          <w:sz w:val="28"/>
          <w:szCs w:val="28"/>
          <w:lang w:val="en"/>
        </w:rPr>
        <w:t>oxygen chamber for animal use</w:t>
      </w:r>
    </w:p>
    <w:p>
      <w:pPr>
        <w:spacing w:line="360" w:lineRule="auto"/>
        <w:jc w:val="center"/>
        <w:rPr>
          <w:rFonts w:ascii="Times New Roman" w:hAnsi="Times New Roman" w:eastAsia="黑体"/>
          <w:spacing w:val="20"/>
          <w:sz w:val="36"/>
          <w:szCs w:val="36"/>
        </w:rPr>
      </w:pPr>
      <w:r>
        <w:rPr>
          <w:rFonts w:ascii="Times New Roman" w:hAnsi="Times New Roman" w:eastAsia="黑体"/>
          <w:spacing w:val="20"/>
          <w:sz w:val="36"/>
          <w:szCs w:val="36"/>
        </w:rPr>
        <w:t>（</w:t>
      </w:r>
      <w:r>
        <w:rPr>
          <w:rFonts w:hint="eastAsia" w:ascii="Times New Roman" w:hAnsi="Times New Roman" w:eastAsia="黑体"/>
          <w:spacing w:val="20"/>
          <w:sz w:val="36"/>
          <w:szCs w:val="36"/>
          <w:lang w:eastAsia="zh-CN"/>
        </w:rPr>
        <w:t>征求意见稿</w:t>
      </w:r>
      <w:r>
        <w:rPr>
          <w:rFonts w:ascii="Times New Roman" w:hAnsi="Times New Roman" w:eastAsia="黑体"/>
          <w:spacing w:val="20"/>
          <w:sz w:val="36"/>
          <w:szCs w:val="36"/>
        </w:rPr>
        <w:t>）</w:t>
      </w:r>
    </w:p>
    <w:p>
      <w:pPr>
        <w:rPr>
          <w:rFonts w:ascii="Times New Roman" w:hAnsi="Times New Roman" w:eastAsia="黑体"/>
          <w:b/>
          <w:bCs/>
          <w:spacing w:val="20"/>
          <w:sz w:val="48"/>
          <w:szCs w:val="48"/>
        </w:rPr>
      </w:pPr>
    </w:p>
    <w:p>
      <w:pPr>
        <w:rPr>
          <w:rFonts w:ascii="Times New Roman" w:hAnsi="Times New Roman" w:eastAsia="黑体"/>
          <w:b/>
          <w:bCs/>
          <w:spacing w:val="20"/>
          <w:sz w:val="48"/>
          <w:szCs w:val="48"/>
        </w:rPr>
      </w:pPr>
    </w:p>
    <w:p>
      <w:pPr>
        <w:rPr>
          <w:rFonts w:ascii="Times New Roman" w:hAnsi="Times New Roman" w:eastAsia="黑体"/>
          <w:b/>
          <w:bCs/>
          <w:spacing w:val="20"/>
          <w:sz w:val="48"/>
          <w:szCs w:val="48"/>
        </w:rPr>
      </w:pPr>
    </w:p>
    <w:p>
      <w:pPr>
        <w:rPr>
          <w:rFonts w:ascii="Times New Roman" w:hAnsi="Times New Roman" w:eastAsia="黑体"/>
          <w:b/>
          <w:bCs/>
          <w:spacing w:val="20"/>
          <w:sz w:val="48"/>
          <w:szCs w:val="48"/>
        </w:rPr>
      </w:pPr>
    </w:p>
    <w:p>
      <w:pPr>
        <w:rPr>
          <w:rFonts w:ascii="Times New Roman" w:hAnsi="Times New Roman" w:eastAsia="黑体"/>
          <w:b/>
          <w:bCs/>
          <w:spacing w:val="20"/>
          <w:sz w:val="48"/>
          <w:szCs w:val="48"/>
        </w:rPr>
      </w:pPr>
    </w:p>
    <w:p>
      <w:pPr>
        <w:rPr>
          <w:rFonts w:ascii="Times New Roman" w:hAnsi="Times New Roman" w:eastAsia="黑体"/>
          <w:b/>
          <w:bCs/>
          <w:spacing w:val="20"/>
          <w:sz w:val="48"/>
          <w:szCs w:val="48"/>
        </w:rPr>
      </w:pPr>
    </w:p>
    <w:p>
      <w:pPr>
        <w:widowControl/>
        <w:rPr>
          <w:rFonts w:ascii="Times New Roman" w:hAnsi="Times New Roman" w:eastAsia="黑体"/>
          <w:b/>
          <w:bCs/>
          <w:sz w:val="44"/>
          <w:szCs w:val="44"/>
        </w:rPr>
      </w:pPr>
      <w:r>
        <w:rPr>
          <w:rFonts w:ascii="Times New Roman" w:hAnsi="Times New Roman" w:eastAsia="黑体"/>
          <w:sz w:val="28"/>
          <w:szCs w:val="28"/>
        </w:rPr>
        <mc:AlternateContent>
          <mc:Choice Requires="wps">
            <w:drawing>
              <wp:anchor distT="0" distB="0" distL="114300" distR="114300" simplePos="0" relativeHeight="251662336" behindDoc="0" locked="1" layoutInCell="1" allowOverlap="1">
                <wp:simplePos x="0" y="0"/>
                <wp:positionH relativeFrom="column">
                  <wp:posOffset>-42545</wp:posOffset>
                </wp:positionH>
                <wp:positionV relativeFrom="paragraph">
                  <wp:posOffset>344170</wp:posOffset>
                </wp:positionV>
                <wp:extent cx="6057900" cy="0"/>
                <wp:effectExtent l="0" t="9525" r="0" b="9525"/>
                <wp:wrapNone/>
                <wp:docPr id="10" name="直接连接符 10"/>
                <wp:cNvGraphicFramePr/>
                <a:graphic xmlns:a="http://schemas.openxmlformats.org/drawingml/2006/main">
                  <a:graphicData uri="http://schemas.microsoft.com/office/word/2010/wordprocessingShape">
                    <wps:wsp>
                      <wps:cNvCnPr>
                        <a:cxnSpLocks noChangeShapeType="true"/>
                      </wps:cNvCnPr>
                      <wps:spPr bwMode="auto">
                        <a:xfrm flipV="true">
                          <a:off x="0" y="0"/>
                          <a:ext cx="60579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flip:y;margin-left:-3.35pt;margin-top:27.1pt;height:0pt;width:477pt;z-index:251662336;mso-width-relative:page;mso-height-relative:page;" filled="f" stroked="t" coordsize="21600,21600" o:gfxdata="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HQxOXrX&#10;AAAACAEAAA8AAAAAAAAAAQAgAAAAOAAAAGRycy9kb3ducmV2LnhtbFBLAQIUABQAAAAIAIdO4kDt&#10;Bc070gEAAG8DAAAOAAAAAAAAAAEAIAAAADwBAABkcnMvZTJvRG9jLnhtbFBLBQYAAAAABgAGAFkB&#10;AACABQAAAAA=&#10;">
                <v:fill on="f" focussize="0,0"/>
                <v:stroke weight="1.5pt" color="#000000" joinstyle="round"/>
                <v:imagedata o:title=""/>
                <o:lock v:ext="edit" aspectratio="f"/>
                <w10:anchorlock/>
              </v:line>
            </w:pict>
          </mc:Fallback>
        </mc:AlternateContent>
      </w:r>
      <w:r>
        <w:rPr>
          <w:rFonts w:ascii="Times New Roman" w:hAnsi="Times New Roman" w:eastAsia="黑体"/>
          <w:b/>
          <w:bCs/>
          <w:sz w:val="28"/>
          <w:szCs w:val="28"/>
        </w:rPr>
        <w:t>20XX-XX-XX发布</w:t>
      </w:r>
      <w:r>
        <w:rPr>
          <w:rFonts w:ascii="Times New Roman" w:hAnsi="Times New Roman" w:eastAsia="黑体"/>
          <w:sz w:val="28"/>
          <w:szCs w:val="28"/>
        </w:rPr>
        <w:t xml:space="preserve">                             </w:t>
      </w:r>
      <w:r>
        <w:rPr>
          <w:rFonts w:ascii="Times New Roman" w:hAnsi="Times New Roman" w:eastAsia="黑体"/>
          <w:b/>
          <w:bCs/>
          <w:sz w:val="28"/>
          <w:szCs w:val="28"/>
        </w:rPr>
        <w:t>20XX-XX-XX实施</w:t>
      </w:r>
      <w:r>
        <w:rPr>
          <w:rFonts w:ascii="Times New Roman" w:hAnsi="Times New Roman" w:eastAsia="黑体"/>
          <w:sz w:val="28"/>
          <w:szCs w:val="28"/>
        </w:rPr>
        <mc:AlternateContent>
          <mc:Choice Requires="wps">
            <w:drawing>
              <wp:anchor distT="0" distB="0" distL="114300" distR="114300" simplePos="0" relativeHeight="251663360" behindDoc="0" locked="1" layoutInCell="1" allowOverlap="1">
                <wp:simplePos x="0" y="0"/>
                <wp:positionH relativeFrom="margin">
                  <wp:posOffset>38100</wp:posOffset>
                </wp:positionH>
                <wp:positionV relativeFrom="margin">
                  <wp:posOffset>7983855</wp:posOffset>
                </wp:positionV>
                <wp:extent cx="6120130" cy="949325"/>
                <wp:effectExtent l="0" t="0" r="13970" b="3175"/>
                <wp:wrapNone/>
                <wp:docPr id="11" name="文本框 11"/>
                <wp:cNvGraphicFramePr/>
                <a:graphic xmlns:a="http://schemas.openxmlformats.org/drawingml/2006/main">
                  <a:graphicData uri="http://schemas.microsoft.com/office/word/2010/wordprocessingShape">
                    <wps:wsp>
                      <wps:cNvSpPr txBox="true">
                        <a:spLocks noChangeArrowheads="true"/>
                      </wps:cNvSpPr>
                      <wps:spPr bwMode="auto">
                        <a:xfrm>
                          <a:off x="0" y="0"/>
                          <a:ext cx="6120130" cy="949325"/>
                        </a:xfrm>
                        <a:prstGeom prst="rect">
                          <a:avLst/>
                        </a:prstGeom>
                        <a:solidFill>
                          <a:srgbClr val="FFFFFF"/>
                        </a:solidFill>
                        <a:ln>
                          <a:noFill/>
                        </a:ln>
                      </wps:spPr>
                      <wps:txbx>
                        <w:txbxContent>
                          <w:p>
                            <w:pPr>
                              <w:pStyle w:val="27"/>
                            </w:pPr>
                            <w:r>
                              <w:rPr>
                                <w:rFonts w:hint="eastAsia" w:hAnsi="宋体"/>
                                <w:spacing w:val="0"/>
                                <w:w w:val="100"/>
                                <w:sz w:val="44"/>
                                <w:szCs w:val="44"/>
                              </w:rPr>
                              <w:t>中华人民共和国农业农村部</w:t>
                            </w:r>
                            <w:r>
                              <w:rPr>
                                <w:rStyle w:val="29"/>
                              </w:rPr>
                              <w:t xml:space="preserve"> </w:t>
                            </w:r>
                            <w:r>
                              <w:rPr>
                                <w:rStyle w:val="29"/>
                                <w:rFonts w:hint="eastAsia" w:hAnsi="黑体"/>
                                <w:b w:val="0"/>
                              </w:rPr>
                              <w:t>发布</w:t>
                            </w:r>
                          </w:p>
                        </w:txbxContent>
                      </wps:txbx>
                      <wps:bodyPr rot="0" vert="horz" wrap="square" lIns="0" tIns="0" rIns="0" bIns="0" anchor="t" anchorCtr="false" upright="true">
                        <a:noAutofit/>
                      </wps:bodyPr>
                    </wps:wsp>
                  </a:graphicData>
                </a:graphic>
              </wp:anchor>
            </w:drawing>
          </mc:Choice>
          <mc:Fallback>
            <w:pict>
              <v:shape id="_x0000_s1026" o:spid="_x0000_s1026" o:spt="202" type="#_x0000_t202" style="position:absolute;left:0pt;margin-left:3pt;margin-top:628.65pt;height:74.75pt;width:481.9pt;mso-position-horizontal-relative:margin;mso-position-vertical-relative:margin;z-index:251663360;mso-width-relative:page;mso-height-relative:page;" fillcolor="#FFFFFF" filled="t" stroked="f" coordsize="21600,21600" o:gfxdata="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Md+O&#10;UtkAAAALAQAADwAAAAAAAAABACAAAAA4AAAAZHJzL2Rvd25yZXYueG1sUEsBAhQAFAAAAAgAh07i&#10;QOQgvdwLAgAA7wMAAA4AAAAAAAAAAQAgAAAAPgEAAGRycy9lMm9Eb2MueG1sUEsFBgAAAAAGAAYA&#10;WQEAALsFAAAAAA==&#10;">
                <v:fill on="t" focussize="0,0"/>
                <v:stroke on="f"/>
                <v:imagedata o:title=""/>
                <o:lock v:ext="edit" aspectratio="f"/>
                <v:textbox inset="0mm,0mm,0mm,0mm">
                  <w:txbxContent>
                    <w:p>
                      <w:pPr>
                        <w:pStyle w:val="27"/>
                      </w:pPr>
                      <w:r>
                        <w:rPr>
                          <w:rFonts w:hint="eastAsia" w:hAnsi="宋体"/>
                          <w:spacing w:val="0"/>
                          <w:w w:val="100"/>
                          <w:sz w:val="44"/>
                          <w:szCs w:val="44"/>
                        </w:rPr>
                        <w:t>中华人民共和国农业农村部</w:t>
                      </w:r>
                      <w:r>
                        <w:rPr>
                          <w:rStyle w:val="29"/>
                        </w:rPr>
                        <w:t xml:space="preserve"> </w:t>
                      </w:r>
                      <w:r>
                        <w:rPr>
                          <w:rStyle w:val="29"/>
                          <w:rFonts w:hint="eastAsia" w:hAnsi="黑体"/>
                          <w:b w:val="0"/>
                        </w:rPr>
                        <w:t>发布</w:t>
                      </w:r>
                    </w:p>
                  </w:txbxContent>
                </v:textbox>
                <w10:anchorlock/>
              </v:shape>
            </w:pict>
          </mc:Fallback>
        </mc:AlternateContent>
      </w:r>
    </w:p>
    <w:p>
      <w:pPr>
        <w:spacing w:line="360" w:lineRule="auto"/>
        <w:ind w:firstLine="6286" w:firstLineChars="1568"/>
        <w:rPr>
          <w:rFonts w:ascii="Times New Roman" w:hAnsi="Times New Roman" w:eastAsia="黑体"/>
          <w:b/>
          <w:bCs/>
          <w:spacing w:val="80"/>
          <w:sz w:val="24"/>
        </w:rPr>
        <w:sectPr>
          <w:headerReference r:id="rId5" w:type="default"/>
          <w:pgSz w:w="11906" w:h="16838"/>
          <w:pgMar w:top="1440" w:right="1361" w:bottom="1440" w:left="1361" w:header="851" w:footer="992" w:gutter="0"/>
          <w:cols w:space="720" w:num="1"/>
          <w:docGrid w:type="lines" w:linePitch="312" w:charSpace="0"/>
        </w:sectPr>
      </w:pPr>
    </w:p>
    <w:p>
      <w:pPr>
        <w:ind w:firstLine="420"/>
        <w:jc w:val="center"/>
        <w:rPr>
          <w:rFonts w:ascii="Times New Roman" w:hAnsi="Times New Roman"/>
          <w:szCs w:val="21"/>
        </w:rPr>
      </w:pPr>
      <w:bookmarkStart w:id="0" w:name="_Toc260729572"/>
      <w:bookmarkStart w:id="1" w:name="_Toc11016"/>
      <w:r>
        <w:rPr>
          <w:rFonts w:hint="eastAsia" w:ascii="Times New Roman" w:hAnsi="Times New Roman" w:eastAsia="黑体"/>
          <w:b/>
          <w:bCs/>
          <w:spacing w:val="20"/>
          <w:kern w:val="0"/>
          <w:sz w:val="28"/>
          <w:szCs w:val="28"/>
        </w:rPr>
        <w:t>前</w:t>
      </w:r>
      <w:bookmarkStart w:id="2" w:name="BKQY"/>
      <w:r>
        <w:rPr>
          <w:rFonts w:ascii="Times New Roman" w:hAnsi="Times New Roman" w:eastAsia="黑体"/>
          <w:b/>
          <w:bCs/>
          <w:spacing w:val="20"/>
          <w:kern w:val="0"/>
          <w:sz w:val="28"/>
          <w:szCs w:val="28"/>
        </w:rPr>
        <w:t>  </w:t>
      </w:r>
      <w:r>
        <w:rPr>
          <w:rFonts w:hint="eastAsia" w:ascii="Times New Roman" w:hAnsi="Times New Roman" w:eastAsia="黑体"/>
          <w:b/>
          <w:bCs/>
          <w:spacing w:val="20"/>
          <w:kern w:val="0"/>
          <w:sz w:val="28"/>
          <w:szCs w:val="28"/>
        </w:rPr>
        <w:t>言</w:t>
      </w:r>
      <w:bookmarkEnd w:id="0"/>
      <w:bookmarkEnd w:id="1"/>
      <w:bookmarkEnd w:id="2"/>
    </w:p>
    <w:p>
      <w:pPr>
        <w:spacing w:line="360" w:lineRule="auto"/>
        <w:ind w:firstLine="420" w:firstLineChars="200"/>
        <w:rPr>
          <w:rFonts w:ascii="Times New Roman" w:hAnsi="Times New Roman" w:eastAsiaTheme="minorEastAsia"/>
          <w:kern w:val="0"/>
          <w:szCs w:val="21"/>
        </w:rPr>
      </w:pPr>
      <w:r>
        <w:rPr>
          <w:rFonts w:ascii="Times New Roman" w:hAnsi="Times New Roman" w:eastAsiaTheme="minorEastAsia"/>
          <w:kern w:val="0"/>
          <w:szCs w:val="21"/>
        </w:rPr>
        <w:t>本文件按照GB/T1.1-2020《标准化工作导则 第1部分</w:t>
      </w:r>
      <w:r>
        <w:rPr>
          <w:rFonts w:hint="eastAsia" w:ascii="Times New Roman" w:hAnsi="Times New Roman" w:eastAsiaTheme="minorEastAsia"/>
          <w:kern w:val="0"/>
          <w:szCs w:val="21"/>
        </w:rPr>
        <w:t>：</w:t>
      </w:r>
      <w:r>
        <w:rPr>
          <w:rFonts w:ascii="Times New Roman" w:hAnsi="Times New Roman" w:eastAsiaTheme="minorEastAsia"/>
          <w:kern w:val="0"/>
          <w:szCs w:val="21"/>
        </w:rPr>
        <w:t>标准化文件的结构和起草规则》的规定起草。</w:t>
      </w:r>
    </w:p>
    <w:p>
      <w:pPr>
        <w:spacing w:line="360" w:lineRule="auto"/>
        <w:ind w:firstLine="420" w:firstLineChars="200"/>
        <w:rPr>
          <w:rFonts w:ascii="Times New Roman" w:hAnsi="Times New Roman" w:eastAsiaTheme="minorEastAsia"/>
          <w:kern w:val="0"/>
          <w:szCs w:val="21"/>
        </w:rPr>
      </w:pPr>
      <w:r>
        <w:rPr>
          <w:rFonts w:hint="eastAsia" w:ascii="Times New Roman" w:hAnsi="Times New Roman" w:eastAsiaTheme="minorEastAsia"/>
          <w:kern w:val="0"/>
          <w:szCs w:val="21"/>
        </w:rPr>
        <w:t>请注意本文件的某些内容可能涉及专利。</w:t>
      </w:r>
    </w:p>
    <w:p>
      <w:pPr>
        <w:spacing w:line="360" w:lineRule="auto"/>
        <w:ind w:firstLine="420" w:firstLineChars="200"/>
        <w:rPr>
          <w:rFonts w:ascii="Times New Roman" w:hAnsi="Times New Roman" w:eastAsiaTheme="minorEastAsia"/>
          <w:kern w:val="0"/>
          <w:szCs w:val="21"/>
        </w:rPr>
      </w:pPr>
      <w:r>
        <w:rPr>
          <w:rFonts w:hint="eastAsia" w:ascii="Times New Roman" w:hAnsi="Times New Roman" w:eastAsiaTheme="minorEastAsia"/>
          <w:kern w:val="0"/>
          <w:szCs w:val="21"/>
        </w:rPr>
        <w:t>本文件的发布机构不承担识别专利的责任。</w:t>
      </w:r>
    </w:p>
    <w:p>
      <w:pPr>
        <w:spacing w:line="360" w:lineRule="auto"/>
        <w:ind w:firstLine="420" w:firstLineChars="200"/>
        <w:rPr>
          <w:rFonts w:ascii="Times New Roman" w:hAnsi="Times New Roman" w:eastAsiaTheme="minorEastAsia"/>
          <w:kern w:val="0"/>
          <w:szCs w:val="21"/>
        </w:rPr>
      </w:pPr>
      <w:r>
        <w:rPr>
          <w:rFonts w:ascii="Times New Roman" w:hAnsi="Times New Roman" w:eastAsiaTheme="minorEastAsia"/>
          <w:kern w:val="0"/>
          <w:szCs w:val="21"/>
        </w:rPr>
        <w:t>本文件由中华人民共和国农业农村部畜牧兽医局提出。</w:t>
      </w:r>
    </w:p>
    <w:p>
      <w:pPr>
        <w:spacing w:line="360" w:lineRule="auto"/>
        <w:ind w:firstLine="420" w:firstLineChars="200"/>
        <w:rPr>
          <w:rFonts w:ascii="Times New Roman" w:hAnsi="Times New Roman" w:eastAsiaTheme="minorEastAsia"/>
          <w:kern w:val="0"/>
          <w:szCs w:val="21"/>
        </w:rPr>
      </w:pPr>
      <w:r>
        <w:rPr>
          <w:rFonts w:ascii="Times New Roman" w:hAnsi="Times New Roman" w:eastAsiaTheme="minorEastAsia"/>
          <w:kern w:val="0"/>
          <w:szCs w:val="21"/>
        </w:rPr>
        <w:t>本文件由全国畜牧业标准化技术委员会（SAC/TC 274）归口。</w:t>
      </w:r>
    </w:p>
    <w:p>
      <w:pPr>
        <w:spacing w:line="360" w:lineRule="auto"/>
        <w:ind w:firstLine="420" w:firstLineChars="200"/>
        <w:rPr>
          <w:rFonts w:hint="eastAsia" w:ascii="Times New Roman" w:hAnsi="Times New Roman" w:eastAsiaTheme="minorEastAsia"/>
          <w:kern w:val="0"/>
          <w:szCs w:val="21"/>
        </w:rPr>
      </w:pPr>
      <w:r>
        <w:rPr>
          <w:rFonts w:hint="eastAsia" w:ascii="Times New Roman" w:hAnsi="Times New Roman" w:eastAsiaTheme="minorEastAsia"/>
          <w:kern w:val="0"/>
          <w:szCs w:val="21"/>
        </w:rPr>
        <w:t>本文件起草单位：中国兽医药品监察所、上海普利施康生物科技发展有限公司、上海普佳金属制品有限公司、合肥金脑人光电仪器有限责任公司、南京</w:t>
      </w:r>
      <w:r>
        <w:rPr>
          <w:rFonts w:hint="eastAsia" w:ascii="Times New Roman" w:hAnsi="Times New Roman" w:eastAsiaTheme="minorEastAsia"/>
          <w:kern w:val="0"/>
          <w:szCs w:val="21"/>
          <w:lang w:eastAsia="zh-CN"/>
        </w:rPr>
        <w:t>华仁</w:t>
      </w:r>
      <w:r>
        <w:rPr>
          <w:rFonts w:hint="eastAsia" w:ascii="Times New Roman" w:hAnsi="Times New Roman" w:eastAsiaTheme="minorEastAsia"/>
          <w:kern w:val="0"/>
          <w:szCs w:val="21"/>
        </w:rPr>
        <w:t>生物科技有限公司、山东忆彩智能设备有限公司、上海笑灿医疗</w:t>
      </w:r>
      <w:r>
        <w:rPr>
          <w:rFonts w:hint="eastAsia" w:ascii="Times New Roman" w:hAnsi="Times New Roman" w:eastAsiaTheme="minorEastAsia"/>
          <w:kern w:val="0"/>
          <w:szCs w:val="21"/>
          <w:lang w:eastAsia="zh-CN"/>
        </w:rPr>
        <w:t>科技有限公司</w:t>
      </w:r>
      <w:r>
        <w:rPr>
          <w:rFonts w:hint="eastAsia" w:ascii="Times New Roman" w:hAnsi="Times New Roman" w:eastAsiaTheme="minorEastAsia"/>
          <w:kern w:val="0"/>
          <w:szCs w:val="21"/>
        </w:rPr>
        <w:t>。</w:t>
      </w:r>
    </w:p>
    <w:p>
      <w:pPr>
        <w:spacing w:line="360" w:lineRule="auto"/>
        <w:ind w:firstLine="420" w:firstLineChars="200"/>
        <w:rPr>
          <w:rFonts w:hint="eastAsia" w:ascii="Times New Roman" w:hAnsi="Times New Roman" w:eastAsiaTheme="minorEastAsia"/>
          <w:kern w:val="0"/>
          <w:szCs w:val="21"/>
        </w:rPr>
      </w:pPr>
      <w:r>
        <w:rPr>
          <w:rFonts w:hint="eastAsia" w:ascii="Times New Roman" w:hAnsi="Times New Roman" w:eastAsiaTheme="minorEastAsia"/>
          <w:color w:val="000000" w:themeColor="text1"/>
          <w:kern w:val="0"/>
          <w:szCs w:val="21"/>
          <w14:textFill>
            <w14:solidFill>
              <w14:schemeClr w14:val="tx1"/>
            </w14:solidFill>
          </w14:textFill>
        </w:rPr>
        <w:t>本文件主要起草人：王飞虎、王谷怡、</w:t>
      </w:r>
      <w:r>
        <w:rPr>
          <w:rFonts w:hint="eastAsia" w:ascii="Times New Roman" w:hAnsi="Times New Roman" w:eastAsiaTheme="minorEastAsia"/>
          <w:color w:val="000000" w:themeColor="text1"/>
          <w:kern w:val="0"/>
          <w:szCs w:val="21"/>
          <w:lang w:eastAsia="zh-CN"/>
          <w14:textFill>
            <w14:solidFill>
              <w14:schemeClr w14:val="tx1"/>
            </w14:solidFill>
          </w14:textFill>
        </w:rPr>
        <w:t>杨晶、金闻名、</w:t>
      </w:r>
      <w:r>
        <w:rPr>
          <w:rFonts w:hint="eastAsia" w:ascii="Times New Roman" w:hAnsi="Times New Roman" w:eastAsiaTheme="minorEastAsia"/>
          <w:color w:val="000000" w:themeColor="text1"/>
          <w:kern w:val="0"/>
          <w:szCs w:val="21"/>
          <w14:textFill>
            <w14:solidFill>
              <w14:schemeClr w14:val="tx1"/>
            </w14:solidFill>
          </w14:textFill>
        </w:rPr>
        <w:t xml:space="preserve"> 蒋勇斌、程登伟、马晖、王家中、</w:t>
      </w:r>
      <w:r>
        <w:rPr>
          <w:rFonts w:hint="eastAsia" w:ascii="Times New Roman" w:hAnsi="Times New Roman" w:eastAsiaTheme="minorEastAsia"/>
          <w:bCs w:val="0"/>
          <w:color w:val="000000" w:themeColor="text1"/>
          <w:kern w:val="0"/>
          <w:sz w:val="21"/>
          <w:szCs w:val="21"/>
          <w14:textFill>
            <w14:solidFill>
              <w14:schemeClr w14:val="tx1"/>
            </w14:solidFill>
          </w14:textFill>
        </w:rPr>
        <w:t>龚海兵</w:t>
      </w:r>
      <w:r>
        <w:rPr>
          <w:rFonts w:hint="eastAsia" w:ascii="Times New Roman" w:hAnsi="Times New Roman" w:eastAsiaTheme="minorEastAsia"/>
          <w:bCs w:val="0"/>
          <w:color w:val="000000" w:themeColor="text1"/>
          <w:kern w:val="0"/>
          <w:sz w:val="21"/>
          <w:szCs w:val="21"/>
          <w:lang w:eastAsia="zh-CN"/>
          <w14:textFill>
            <w14:solidFill>
              <w14:schemeClr w14:val="tx1"/>
            </w14:solidFill>
          </w14:textFill>
        </w:rPr>
        <w:t>、</w:t>
      </w:r>
      <w:r>
        <w:rPr>
          <w:rFonts w:hint="eastAsia" w:ascii="Times New Roman" w:hAnsi="Times New Roman" w:eastAsiaTheme="minorEastAsia"/>
          <w:bCs w:val="0"/>
          <w:color w:val="000000" w:themeColor="text1"/>
          <w:kern w:val="0"/>
          <w:sz w:val="21"/>
          <w:szCs w:val="21"/>
          <w14:textFill>
            <w14:solidFill>
              <w14:schemeClr w14:val="tx1"/>
            </w14:solidFill>
          </w14:textFill>
        </w:rPr>
        <w:t>郭德保</w:t>
      </w:r>
      <w:r>
        <w:rPr>
          <w:rFonts w:hint="eastAsia" w:ascii="Times New Roman" w:hAnsi="Times New Roman" w:eastAsiaTheme="minorEastAsia"/>
          <w:color w:val="000000" w:themeColor="text1"/>
          <w:kern w:val="0"/>
          <w:szCs w:val="21"/>
          <w14:textFill>
            <w14:solidFill>
              <w14:schemeClr w14:val="tx1"/>
            </w14:solidFill>
          </w14:textFill>
        </w:rPr>
        <w:t xml:space="preserve"> 、</w:t>
      </w:r>
      <w:r>
        <w:rPr>
          <w:rFonts w:hint="eastAsia" w:ascii="Times New Roman" w:hAnsi="Times New Roman" w:eastAsiaTheme="minorEastAsia"/>
          <w:bCs w:val="0"/>
          <w:color w:val="000000" w:themeColor="text1"/>
          <w:kern w:val="0"/>
          <w:sz w:val="21"/>
          <w:szCs w:val="21"/>
          <w14:textFill>
            <w14:solidFill>
              <w14:schemeClr w14:val="tx1"/>
            </w14:solidFill>
          </w14:textFill>
        </w:rPr>
        <w:t>陈用胜、龚</w:t>
      </w:r>
      <w:r>
        <w:rPr>
          <w:rFonts w:hint="eastAsia" w:ascii="Times New Roman" w:hAnsi="Times New Roman" w:eastAsiaTheme="minorEastAsia"/>
          <w:bCs w:val="0"/>
          <w:color w:val="000000" w:themeColor="text1"/>
          <w:kern w:val="0"/>
          <w:sz w:val="21"/>
          <w:szCs w:val="21"/>
          <w:lang w:eastAsia="zh-CN"/>
          <w14:textFill>
            <w14:solidFill>
              <w14:schemeClr w14:val="tx1"/>
            </w14:solidFill>
          </w14:textFill>
        </w:rPr>
        <w:t>嘉威、</w:t>
      </w:r>
      <w:r>
        <w:rPr>
          <w:rFonts w:hint="eastAsia" w:ascii="Times New Roman" w:hAnsi="Times New Roman" w:eastAsiaTheme="minorEastAsia"/>
          <w:bCs w:val="0"/>
          <w:color w:val="000000" w:themeColor="text1"/>
          <w:kern w:val="0"/>
          <w:sz w:val="21"/>
          <w:szCs w:val="21"/>
          <w14:textFill>
            <w14:solidFill>
              <w14:schemeClr w14:val="tx1"/>
            </w14:solidFill>
          </w14:textFill>
        </w:rPr>
        <w:t>张伦、</w:t>
      </w:r>
      <w:r>
        <w:rPr>
          <w:rFonts w:hint="eastAsia" w:ascii="Times New Roman" w:hAnsi="Times New Roman" w:eastAsiaTheme="minorEastAsia"/>
          <w:bCs w:val="0"/>
          <w:color w:val="000000" w:themeColor="text1"/>
          <w:kern w:val="0"/>
          <w:sz w:val="21"/>
          <w:szCs w:val="21"/>
          <w:lang w:eastAsia="zh-CN"/>
          <w14:textFill>
            <w14:solidFill>
              <w14:schemeClr w14:val="tx1"/>
            </w14:solidFill>
          </w14:textFill>
        </w:rPr>
        <w:t>屠</w:t>
      </w:r>
      <w:bookmarkStart w:id="5" w:name="_GoBack"/>
      <w:bookmarkEnd w:id="5"/>
      <w:r>
        <w:rPr>
          <w:rFonts w:hint="eastAsia" w:ascii="Times New Roman" w:hAnsi="Times New Roman" w:eastAsiaTheme="minorEastAsia"/>
          <w:bCs w:val="0"/>
          <w:color w:val="000000" w:themeColor="text1"/>
          <w:kern w:val="0"/>
          <w:sz w:val="21"/>
          <w:szCs w:val="21"/>
          <w:lang w:eastAsia="zh-CN"/>
          <w14:textFill>
            <w14:solidFill>
              <w14:schemeClr w14:val="tx1"/>
            </w14:solidFill>
          </w14:textFill>
        </w:rPr>
        <w:t>迪</w:t>
      </w:r>
      <w:r>
        <w:rPr>
          <w:rFonts w:hint="default" w:ascii="Times New Roman" w:hAnsi="Times New Roman" w:eastAsiaTheme="minorEastAsia"/>
          <w:color w:val="000000" w:themeColor="text1"/>
          <w:kern w:val="0"/>
          <w:szCs w:val="21"/>
          <w14:textFill>
            <w14:solidFill>
              <w14:schemeClr w14:val="tx1"/>
            </w14:solidFill>
          </w14:textFill>
        </w:rPr>
        <w:t>、</w:t>
      </w:r>
      <w:r>
        <w:rPr>
          <w:rFonts w:hint="eastAsia" w:ascii="Times New Roman" w:hAnsi="Times New Roman" w:eastAsiaTheme="minorEastAsia"/>
          <w:color w:val="000000" w:themeColor="text1"/>
          <w:kern w:val="0"/>
          <w:szCs w:val="21"/>
          <w14:textFill>
            <w14:solidFill>
              <w14:schemeClr w14:val="tx1"/>
            </w14:solidFill>
          </w14:textFill>
        </w:rPr>
        <w:t>丁才艾 、</w:t>
      </w:r>
      <w:r>
        <w:rPr>
          <w:rFonts w:hint="eastAsia" w:ascii="Times New Roman" w:hAnsi="Times New Roman" w:eastAsiaTheme="minorEastAsia"/>
          <w:bCs w:val="0"/>
          <w:color w:val="000000" w:themeColor="text1"/>
          <w:kern w:val="0"/>
          <w:sz w:val="21"/>
          <w:szCs w:val="21"/>
          <w14:textFill>
            <w14:solidFill>
              <w14:schemeClr w14:val="tx1"/>
            </w14:solidFill>
          </w14:textFill>
        </w:rPr>
        <w:t>郭海涛</w:t>
      </w:r>
      <w:r>
        <w:rPr>
          <w:rFonts w:hint="eastAsia" w:ascii="Times New Roman" w:hAnsi="Times New Roman" w:eastAsiaTheme="minorEastAsia"/>
          <w:color w:val="000000" w:themeColor="text1"/>
          <w:kern w:val="0"/>
          <w:szCs w:val="21"/>
          <w14:textFill>
            <w14:solidFill>
              <w14:schemeClr w14:val="tx1"/>
            </w14:solidFill>
          </w14:textFill>
        </w:rPr>
        <w:t>。</w:t>
      </w:r>
    </w:p>
    <w:p>
      <w:pPr>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br w:type="page"/>
      </w:r>
    </w:p>
    <w:p>
      <w:pPr>
        <w:rPr>
          <w:color w:val="000000" w:themeColor="text1"/>
          <w:szCs w:val="21"/>
          <w14:textFill>
            <w14:solidFill>
              <w14:schemeClr w14:val="tx1"/>
            </w14:solidFill>
          </w14:textFill>
        </w:rPr>
      </w:pPr>
    </w:p>
    <w:p>
      <w:pPr>
        <w:spacing w:line="312" w:lineRule="auto"/>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动物氧疗舱</w:t>
      </w: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1  范围</w:t>
      </w:r>
    </w:p>
    <w:p>
      <w:pPr>
        <w:spacing w:line="312" w:lineRule="auto"/>
        <w:ind w:firstLine="420" w:firstLineChars="20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文件</w:t>
      </w:r>
      <w:r>
        <w:rPr>
          <w:rFonts w:hint="eastAsia"/>
          <w:color w:val="000000" w:themeColor="text1"/>
          <w:szCs w:val="21"/>
          <w14:textFill>
            <w14:solidFill>
              <w14:schemeClr w14:val="tx1"/>
            </w14:solidFill>
          </w14:textFill>
        </w:rPr>
        <w:t>规定了动物氧疗舱 (以下简称氧疗舱)产品的术语与定义、规格型式、技术要求、 试验方法、铭牌、使用说明书和包装、运输、储存。</w:t>
      </w:r>
    </w:p>
    <w:p>
      <w:pPr>
        <w:spacing w:line="312" w:lineRule="auto"/>
        <w:ind w:firstLine="420" w:firstLineChars="20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w:t>
      </w:r>
      <w:r>
        <w:rPr>
          <w:rFonts w:hint="eastAsia"/>
          <w:color w:val="000000" w:themeColor="text1"/>
          <w:szCs w:val="21"/>
          <w:lang w:eastAsia="zh-CN"/>
          <w14:textFill>
            <w14:solidFill>
              <w14:schemeClr w14:val="tx1"/>
            </w14:solidFill>
          </w14:textFill>
        </w:rPr>
        <w:t>文件</w:t>
      </w:r>
      <w:r>
        <w:rPr>
          <w:rFonts w:hint="eastAsia"/>
          <w:color w:val="000000" w:themeColor="text1"/>
          <w:szCs w:val="21"/>
          <w14:textFill>
            <w14:solidFill>
              <w14:schemeClr w14:val="tx1"/>
            </w14:solidFill>
          </w14:textFill>
        </w:rPr>
        <w:t>适用于加压介质为</w:t>
      </w:r>
      <w:r>
        <w:rPr>
          <w:rFonts w:hint="eastAsia"/>
          <w:color w:val="000000" w:themeColor="text1"/>
          <w:szCs w:val="21"/>
          <w:highlight w:val="none"/>
          <w14:textFill>
            <w14:solidFill>
              <w14:schemeClr w14:val="tx1"/>
            </w14:solidFill>
          </w14:textFill>
        </w:rPr>
        <w:t>空气、氧气或混合气体</w:t>
      </w:r>
      <w:r>
        <w:rPr>
          <w:rFonts w:hint="eastAsia"/>
          <w:color w:val="000000" w:themeColor="text1"/>
          <w:szCs w:val="21"/>
          <w14:textFill>
            <w14:solidFill>
              <w14:schemeClr w14:val="tx1"/>
            </w14:solidFill>
          </w14:textFill>
        </w:rPr>
        <w:t>，工作压力在30-100kpa（表压，下同） ，</w:t>
      </w:r>
      <w:r>
        <w:rPr>
          <w:rFonts w:hint="eastAsia"/>
          <w:color w:val="000000" w:themeColor="text1"/>
          <w:szCs w:val="21"/>
          <w:highlight w:val="none"/>
          <w:lang w:val="en" w:eastAsia="zh-CN"/>
          <w14:textFill>
            <w14:solidFill>
              <w14:schemeClr w14:val="tx1"/>
            </w14:solidFill>
          </w14:textFill>
        </w:rPr>
        <w:t>体重小于</w:t>
      </w:r>
      <w:r>
        <w:rPr>
          <w:rFonts w:hint="eastAsia"/>
          <w:color w:val="000000" w:themeColor="text1"/>
          <w:szCs w:val="21"/>
          <w:highlight w:val="none"/>
          <w:lang w:val="en-US" w:eastAsia="zh-CN"/>
          <w14:textFill>
            <w14:solidFill>
              <w14:schemeClr w14:val="tx1"/>
            </w14:solidFill>
          </w14:textFill>
        </w:rPr>
        <w:t>30kg的小型</w:t>
      </w:r>
      <w:r>
        <w:rPr>
          <w:rFonts w:hint="eastAsia"/>
          <w:color w:val="000000" w:themeColor="text1"/>
          <w:szCs w:val="21"/>
          <w:highlight w:val="none"/>
          <w:lang w:val="en"/>
          <w14:textFill>
            <w14:solidFill>
              <w14:schemeClr w14:val="tx1"/>
            </w14:solidFill>
          </w14:textFill>
        </w:rPr>
        <w:t>动物</w:t>
      </w:r>
      <w:r>
        <w:rPr>
          <w:rFonts w:hint="eastAsia"/>
          <w:color w:val="000000" w:themeColor="text1"/>
          <w:szCs w:val="21"/>
          <w:lang w:val="en"/>
          <w14:textFill>
            <w14:solidFill>
              <w14:schemeClr w14:val="tx1"/>
            </w14:solidFill>
          </w14:textFill>
        </w:rPr>
        <w:t>在舱内进行辅助治疗的</w:t>
      </w:r>
      <w:r>
        <w:rPr>
          <w:rFonts w:hint="eastAsia"/>
          <w:color w:val="000000" w:themeColor="text1"/>
          <w:szCs w:val="21"/>
          <w14:textFill>
            <w14:solidFill>
              <w14:schemeClr w14:val="tx1"/>
            </w14:solidFill>
          </w14:textFill>
        </w:rPr>
        <w:t>氧疗舱。</w:t>
      </w:r>
    </w:p>
    <w:p>
      <w:pPr>
        <w:spacing w:line="312" w:lineRule="auto"/>
        <w:ind w:firstLine="420" w:firstLineChars="200"/>
        <w:rPr>
          <w:rFonts w:hint="eastAsia"/>
          <w:color w:val="000000" w:themeColor="text1"/>
          <w:szCs w:val="21"/>
          <w14:textFill>
            <w14:solidFill>
              <w14:schemeClr w14:val="tx1"/>
            </w14:solidFill>
          </w14:textFill>
        </w:rPr>
      </w:pP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2 规范性引用文件</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下列文件中的内容通过文中的规范性引用而构成本文件不可少的条款。其中，注日期的引用文件，仅该日期对应的版本适用于本文件；不注日期的引用文件，其最新版本（包括所有的修改单）适用于本文件。     </w:t>
      </w:r>
    </w:p>
    <w:p>
      <w:pPr>
        <w:spacing w:line="312" w:lineRule="auto"/>
        <w:ind w:firstLine="420" w:firstLineChars="200"/>
        <w:rPr>
          <w:color w:val="000000" w:themeColor="text1"/>
          <w:szCs w:val="21"/>
          <w:lang w:val="en"/>
          <w14:textFill>
            <w14:solidFill>
              <w14:schemeClr w14:val="tx1"/>
            </w14:solidFill>
          </w14:textFill>
        </w:rPr>
      </w:pPr>
      <w:r>
        <w:rPr>
          <w:rFonts w:hint="eastAsia"/>
          <w:color w:val="000000" w:themeColor="text1"/>
          <w:szCs w:val="21"/>
          <w14:textFill>
            <w14:solidFill>
              <w14:schemeClr w14:val="tx1"/>
            </w14:solidFill>
          </w14:textFill>
        </w:rPr>
        <w:t xml:space="preserve">GB </w:t>
      </w:r>
      <w:r>
        <w:rPr>
          <w:color w:val="000000" w:themeColor="text1"/>
          <w:szCs w:val="21"/>
          <w:lang w:val="en"/>
          <w14:textFill>
            <w14:solidFill>
              <w14:schemeClr w14:val="tx1"/>
            </w14:solidFill>
          </w14:textFill>
        </w:rPr>
        <w:t>/T12130</w:t>
      </w:r>
      <w:r>
        <w:rPr>
          <w:rFonts w:hint="eastAsia"/>
          <w:color w:val="000000" w:themeColor="text1"/>
          <w:szCs w:val="21"/>
          <w:lang w:val="en-US" w:eastAsia="zh-CN"/>
          <w14:textFill>
            <w14:solidFill>
              <w14:schemeClr w14:val="tx1"/>
            </w14:solidFill>
          </w14:textFill>
        </w:rPr>
        <w:t>-2020</w:t>
      </w:r>
      <w:r>
        <w:rPr>
          <w:color w:val="000000" w:themeColor="text1"/>
          <w:szCs w:val="21"/>
          <w:lang w:val="en"/>
          <w14:textFill>
            <w14:solidFill>
              <w14:schemeClr w14:val="tx1"/>
            </w14:solidFill>
          </w14:textFill>
        </w:rPr>
        <w:t xml:space="preserve"> </w:t>
      </w:r>
      <w:r>
        <w:rPr>
          <w:rFonts w:hint="eastAsia"/>
          <w:color w:val="000000" w:themeColor="text1"/>
          <w:szCs w:val="21"/>
          <w:lang w:val="en"/>
          <w14:textFill>
            <w14:solidFill>
              <w14:schemeClr w14:val="tx1"/>
            </w14:solidFill>
          </w14:textFill>
        </w:rPr>
        <w:t>氧舱</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GB/T 191 包装储运图示标志</w:t>
      </w:r>
    </w:p>
    <w:p>
      <w:pPr>
        <w:spacing w:line="312" w:lineRule="auto"/>
        <w:ind w:firstLine="420" w:firstLineChars="200"/>
        <w:rPr>
          <w:color w:val="000000" w:themeColor="text1"/>
          <w:szCs w:val="21"/>
          <w:vertAlign w:val="subscript"/>
          <w14:textFill>
            <w14:solidFill>
              <w14:schemeClr w14:val="tx1"/>
            </w14:solidFill>
          </w14:textFill>
        </w:rPr>
      </w:pPr>
      <w:r>
        <w:rPr>
          <w:rFonts w:hint="eastAsia"/>
          <w:color w:val="000000" w:themeColor="text1"/>
          <w:szCs w:val="21"/>
          <w14:textFill>
            <w14:solidFill>
              <w14:schemeClr w14:val="tx1"/>
            </w14:solidFill>
          </w14:textFill>
        </w:rPr>
        <w:t>GB 9706. 1  医用电器设备第一部分：安全通用要求</w:t>
      </w: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3 术语和定义</w:t>
      </w:r>
    </w:p>
    <w:p>
      <w:pPr>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下列术语和定义适用于本</w:t>
      </w:r>
      <w:r>
        <w:rPr>
          <w:rFonts w:hint="eastAsia"/>
          <w:color w:val="000000" w:themeColor="text1"/>
          <w:szCs w:val="21"/>
          <w:lang w:val="en-US" w:eastAsia="zh-CN"/>
          <w14:textFill>
            <w14:solidFill>
              <w14:schemeClr w14:val="tx1"/>
            </w14:solidFill>
          </w14:textFill>
        </w:rPr>
        <w:t>文件</w:t>
      </w:r>
      <w:r>
        <w:rPr>
          <w:rFonts w:hint="eastAsia"/>
          <w:color w:val="000000" w:themeColor="text1"/>
          <w:szCs w:val="21"/>
          <w14:textFill>
            <w14:solidFill>
              <w14:schemeClr w14:val="tx1"/>
            </w14:solidFill>
          </w14:textFill>
        </w:rPr>
        <w:t>。</w:t>
      </w:r>
    </w:p>
    <w:p>
      <w:pPr>
        <w:numPr>
          <w:ilvl w:val="0"/>
          <w:numId w:val="1"/>
        </w:numPr>
        <w:spacing w:after="0" w:line="312" w:lineRule="auto"/>
        <w:rPr>
          <w:rFonts w:hint="eastAsia"/>
          <w:color w:val="000000" w:themeColor="text1"/>
          <w:szCs w:val="21"/>
          <w:lang w:val="en"/>
          <w14:textFill>
            <w14:solidFill>
              <w14:schemeClr w14:val="tx1"/>
            </w14:solidFill>
          </w14:textFill>
        </w:rPr>
      </w:pPr>
      <w:r>
        <w:rPr>
          <w:rFonts w:hint="eastAsia"/>
          <w:color w:val="000000" w:themeColor="text1"/>
          <w:szCs w:val="21"/>
          <w14:textFill>
            <w14:solidFill>
              <w14:schemeClr w14:val="tx1"/>
            </w14:solidFill>
          </w14:textFill>
        </w:rPr>
        <w:t>1</w:t>
      </w:r>
      <w:r>
        <w:rPr>
          <w:rFonts w:hint="eastAsia"/>
          <w:color w:val="000000" w:themeColor="text1"/>
          <w:szCs w:val="21"/>
          <w:lang w:val="en"/>
          <w14:textFill>
            <w14:solidFill>
              <w14:schemeClr w14:val="tx1"/>
            </w14:solidFill>
          </w14:textFill>
        </w:rPr>
        <w:t xml:space="preserve"> </w:t>
      </w:r>
    </w:p>
    <w:p>
      <w:pPr>
        <w:numPr>
          <w:ilvl w:val="-1"/>
          <w:numId w:val="0"/>
        </w:numPr>
        <w:spacing w:after="0" w:line="312" w:lineRule="auto"/>
        <w:ind w:firstLine="420" w:firstLineChars="200"/>
        <w:rPr>
          <w:color w:val="000000" w:themeColor="text1"/>
          <w:szCs w:val="21"/>
          <w:lang w:val="en"/>
          <w14:textFill>
            <w14:solidFill>
              <w14:schemeClr w14:val="tx1"/>
            </w14:solidFill>
          </w14:textFill>
        </w:rPr>
      </w:pPr>
      <w:r>
        <w:rPr>
          <w:rFonts w:hint="eastAsia"/>
          <w:color w:val="000000" w:themeColor="text1"/>
          <w:szCs w:val="21"/>
          <w:lang w:val="en"/>
          <w14:textFill>
            <w14:solidFill>
              <w14:schemeClr w14:val="tx1"/>
            </w14:solidFill>
          </w14:textFill>
        </w:rPr>
        <w:t>动物氧疗舱 oxygen chamber for animal use</w:t>
      </w:r>
    </w:p>
    <w:p>
      <w:pPr>
        <w:spacing w:after="0" w:line="312" w:lineRule="auto"/>
        <w:ind w:firstLine="420" w:firstLineChars="200"/>
        <w:rPr>
          <w:color w:val="000000" w:themeColor="text1"/>
          <w:szCs w:val="21"/>
          <w:lang w:val="en"/>
          <w14:textFill>
            <w14:solidFill>
              <w14:schemeClr w14:val="tx1"/>
            </w14:solidFill>
          </w14:textFill>
        </w:rPr>
      </w:pPr>
      <w:r>
        <w:rPr>
          <w:rFonts w:hint="eastAsia"/>
          <w:color w:val="000000" w:themeColor="text1"/>
          <w:szCs w:val="21"/>
          <w:lang w:val="en"/>
          <w14:textFill>
            <w14:solidFill>
              <w14:schemeClr w14:val="tx1"/>
            </w14:solidFill>
          </w14:textFill>
        </w:rPr>
        <w:t>采用空气、氧气或混合气体等可呼吸气体为压力介质，工作压力在</w:t>
      </w:r>
      <w:r>
        <w:rPr>
          <w:rFonts w:hint="eastAsia"/>
          <w:color w:val="000000" w:themeColor="text1"/>
          <w:szCs w:val="21"/>
          <w14:textFill>
            <w14:solidFill>
              <w14:schemeClr w14:val="tx1"/>
            </w14:solidFill>
          </w14:textFill>
        </w:rPr>
        <w:t>30</w:t>
      </w:r>
      <w:r>
        <w:rPr>
          <w:color w:val="000000" w:themeColor="text1"/>
          <w:szCs w:val="21"/>
          <w:lang w:val="en"/>
          <w14:textFill>
            <w14:solidFill>
              <w14:schemeClr w14:val="tx1"/>
            </w14:solidFill>
          </w14:textFill>
        </w:rPr>
        <w:t>kpa-</w:t>
      </w:r>
      <w:r>
        <w:rPr>
          <w:rFonts w:hint="eastAsia"/>
          <w:color w:val="000000" w:themeColor="text1"/>
          <w:szCs w:val="21"/>
          <w14:textFill>
            <w14:solidFill>
              <w14:schemeClr w14:val="tx1"/>
            </w14:solidFill>
          </w14:textFill>
        </w:rPr>
        <w:t>100kpa（表压），</w:t>
      </w:r>
      <w:r>
        <w:rPr>
          <w:rFonts w:hint="eastAsia"/>
          <w:color w:val="000000" w:themeColor="text1"/>
          <w:szCs w:val="21"/>
          <w:lang w:val="en"/>
          <w14:textFill>
            <w14:solidFill>
              <w14:schemeClr w14:val="tx1"/>
            </w14:solidFill>
          </w14:textFill>
        </w:rPr>
        <w:t>用于动物在舱内进行辅助治疗的容器。</w:t>
      </w:r>
    </w:p>
    <w:p>
      <w:pPr>
        <w:spacing w:after="0"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w:t>
      </w:r>
    </w:p>
    <w:p>
      <w:pPr>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舱体</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treatment compartment</w:t>
      </w:r>
    </w:p>
    <w:p>
      <w:pPr>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在高于大气压的密闭舱内，动物通过呼吸氧气而进行治疗的舱室。</w:t>
      </w:r>
    </w:p>
    <w:p>
      <w:pPr>
        <w:spacing w:after="0" w:line="312" w:lineRule="auto"/>
        <w:rPr>
          <w:color w:val="000000" w:themeColor="text1"/>
          <w:szCs w:val="21"/>
          <w:lang w:val="en"/>
          <w14:textFill>
            <w14:solidFill>
              <w14:schemeClr w14:val="tx1"/>
            </w14:solidFill>
          </w14:textFill>
        </w:rPr>
      </w:pPr>
      <w:r>
        <w:rPr>
          <w:rFonts w:hint="eastAsia"/>
          <w:color w:val="000000" w:themeColor="text1"/>
          <w:szCs w:val="21"/>
          <w14:textFill>
            <w14:solidFill>
              <w14:schemeClr w14:val="tx1"/>
            </w14:solidFill>
          </w14:textFill>
        </w:rPr>
        <w:t>3.3</w:t>
      </w:r>
      <w:r>
        <w:rPr>
          <w:color w:val="000000" w:themeColor="text1"/>
          <w:szCs w:val="21"/>
          <w:lang w:val="en"/>
          <w14:textFill>
            <w14:solidFill>
              <w14:schemeClr w14:val="tx1"/>
            </w14:solidFill>
          </w14:textFill>
        </w:rPr>
        <w:t xml:space="preserve"> </w:t>
      </w:r>
    </w:p>
    <w:p>
      <w:pPr>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工作压力</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cabin pressure</w:t>
      </w:r>
    </w:p>
    <w:p>
      <w:pPr>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lang w:eastAsia="zh-CN"/>
          <w14:textFill>
            <w14:solidFill>
              <w14:schemeClr w14:val="tx1"/>
            </w14:solidFill>
          </w14:textFill>
        </w:rPr>
        <w:t>氧疗舱在正常工作</w:t>
      </w:r>
      <w:r>
        <w:rPr>
          <w:rFonts w:hint="eastAsia"/>
          <w:color w:val="000000" w:themeColor="text1"/>
          <w:szCs w:val="21"/>
          <w14:textFill>
            <w14:solidFill>
              <w14:schemeClr w14:val="tx1"/>
            </w14:solidFill>
          </w14:textFill>
        </w:rPr>
        <w:t>状态下，显示屏</w:t>
      </w:r>
      <w:r>
        <w:rPr>
          <w:rFonts w:hint="eastAsia"/>
          <w:color w:val="000000" w:themeColor="text1"/>
          <w:szCs w:val="21"/>
          <w:lang w:eastAsia="zh-CN"/>
          <w14:textFill>
            <w14:solidFill>
              <w14:schemeClr w14:val="tx1"/>
            </w14:solidFill>
          </w14:textFill>
        </w:rPr>
        <w:t>或</w:t>
      </w:r>
      <w:r>
        <w:rPr>
          <w:rFonts w:hint="eastAsia"/>
          <w:color w:val="000000" w:themeColor="text1"/>
          <w:szCs w:val="21"/>
          <w14:textFill>
            <w14:solidFill>
              <w14:schemeClr w14:val="tx1"/>
            </w14:solidFill>
          </w14:textFill>
        </w:rPr>
        <w:t>机械压力表所显示的压力。</w:t>
      </w:r>
    </w:p>
    <w:p>
      <w:pPr>
        <w:spacing w:after="0" w:line="312" w:lineRule="auto"/>
        <w:rPr>
          <w:color w:val="000000" w:themeColor="text1"/>
          <w:szCs w:val="21"/>
          <w:lang w:val="en"/>
          <w14:textFill>
            <w14:solidFill>
              <w14:schemeClr w14:val="tx1"/>
            </w14:solidFill>
          </w14:textFill>
        </w:rPr>
      </w:pPr>
      <w:r>
        <w:rPr>
          <w:color w:val="000000" w:themeColor="text1"/>
          <w:szCs w:val="21"/>
          <w:lang w:val="en"/>
          <w14:textFill>
            <w14:solidFill>
              <w14:schemeClr w14:val="tx1"/>
            </w14:solidFill>
          </w14:textFill>
        </w:rPr>
        <w:t xml:space="preserve">3.4 </w:t>
      </w:r>
    </w:p>
    <w:p>
      <w:pPr>
        <w:spacing w:after="0" w:line="312" w:lineRule="auto"/>
        <w:ind w:firstLine="420" w:firstLineChars="200"/>
        <w:rPr>
          <w:color w:val="000000" w:themeColor="text1"/>
          <w:szCs w:val="21"/>
          <w:lang w:val="en"/>
          <w14:textFill>
            <w14:solidFill>
              <w14:schemeClr w14:val="tx1"/>
            </w14:solidFill>
          </w14:textFill>
        </w:rPr>
      </w:pPr>
      <w:r>
        <w:rPr>
          <w:rFonts w:hint="eastAsia"/>
          <w:color w:val="000000" w:themeColor="text1"/>
          <w:szCs w:val="21"/>
          <w:lang w:val="en"/>
          <w14:textFill>
            <w14:solidFill>
              <w14:schemeClr w14:val="tx1"/>
            </w14:solidFill>
          </w14:textFill>
        </w:rPr>
        <w:t>设计压力</w:t>
      </w:r>
      <w:r>
        <w:rPr>
          <w:rFonts w:hint="eastAsia"/>
          <w:color w:val="000000" w:themeColor="text1"/>
          <w:szCs w:val="21"/>
          <w:lang w:val="en-US" w:eastAsia="zh-CN"/>
          <w14:textFill>
            <w14:solidFill>
              <w14:schemeClr w14:val="tx1"/>
            </w14:solidFill>
          </w14:textFill>
        </w:rPr>
        <w:t xml:space="preserve"> </w:t>
      </w:r>
      <w:r>
        <w:rPr>
          <w:color w:val="000000" w:themeColor="text1"/>
          <w:szCs w:val="21"/>
          <w:lang w:val="en"/>
          <w14:textFill>
            <w14:solidFill>
              <w14:schemeClr w14:val="tx1"/>
            </w14:solidFill>
          </w14:textFill>
        </w:rPr>
        <w:t>desi</w:t>
      </w:r>
      <w:r>
        <w:rPr>
          <w:rFonts w:hint="eastAsia"/>
          <w:color w:val="000000" w:themeColor="text1"/>
          <w:szCs w:val="21"/>
          <w14:textFill>
            <w14:solidFill>
              <w14:schemeClr w14:val="tx1"/>
            </w14:solidFill>
          </w14:textFill>
        </w:rPr>
        <w:t>gn</w:t>
      </w:r>
      <w:r>
        <w:rPr>
          <w:color w:val="000000" w:themeColor="text1"/>
          <w:szCs w:val="21"/>
          <w:lang w:val="en"/>
          <w14:textFill>
            <w14:solidFill>
              <w14:schemeClr w14:val="tx1"/>
            </w14:solidFill>
          </w14:textFill>
        </w:rPr>
        <w:t xml:space="preserve"> pressure</w:t>
      </w:r>
    </w:p>
    <w:p>
      <w:pPr>
        <w:spacing w:after="0"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    正常工作状态下</w:t>
      </w:r>
      <w:r>
        <w:rPr>
          <w:rFonts w:hint="eastAsia"/>
          <w:color w:val="000000" w:themeColor="text1"/>
          <w:szCs w:val="21"/>
          <w:lang w:eastAsia="zh-CN"/>
          <w14:textFill>
            <w14:solidFill>
              <w14:schemeClr w14:val="tx1"/>
            </w14:solidFill>
          </w14:textFill>
        </w:rPr>
        <w:t>，氧疗舱标称</w:t>
      </w:r>
      <w:r>
        <w:rPr>
          <w:rFonts w:hint="eastAsia"/>
          <w:color w:val="000000" w:themeColor="text1"/>
          <w:szCs w:val="21"/>
          <w14:textFill>
            <w14:solidFill>
              <w14:schemeClr w14:val="tx1"/>
            </w14:solidFill>
          </w14:textFill>
        </w:rPr>
        <w:t>的最大工作压力。</w:t>
      </w: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4 规格与型式</w:t>
      </w:r>
    </w:p>
    <w:p>
      <w:pPr>
        <w:widowControl/>
        <w:spacing w:before="156" w:beforeLines="50" w:after="156" w:afterLines="50" w:line="360" w:lineRule="auto"/>
        <w:ind w:firstLine="421" w:firstLineChars="200"/>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动物氧疗舱主要包括舱体、舱门、电气系统、压力调节系统、安全防护系统，其结构示意图见图1.</w:t>
      </w: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drawing>
          <wp:inline distT="0" distB="0" distL="114300" distR="114300">
            <wp:extent cx="5261610" cy="2499360"/>
            <wp:effectExtent l="0" t="0" r="15240" b="15240"/>
            <wp:docPr id="2" name="图片 2" descr="微信图片_202509121138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微信图片_20250912113834"/>
                    <pic:cNvPicPr>
                      <a:picLocks noChangeAspect="true"/>
                    </pic:cNvPicPr>
                  </pic:nvPicPr>
                  <pic:blipFill>
                    <a:blip r:embed="rId8"/>
                    <a:stretch>
                      <a:fillRect/>
                    </a:stretch>
                  </pic:blipFill>
                  <pic:spPr>
                    <a:xfrm>
                      <a:off x="0" y="0"/>
                      <a:ext cx="5261610" cy="2499360"/>
                    </a:xfrm>
                    <a:prstGeom prst="rect">
                      <a:avLst/>
                    </a:prstGeom>
                  </pic:spPr>
                </pic:pic>
              </a:graphicData>
            </a:graphic>
          </wp:inline>
        </w:drawing>
      </w:r>
    </w:p>
    <w:p>
      <w:pPr>
        <w:widowControl/>
        <w:spacing w:after="0" w:line="312" w:lineRule="auto"/>
        <w:ind w:firstLine="420" w:firstLineChars="20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图1 动物氧疗舱结构示意图</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标引序号说明：</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1——舱门</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2——舱门锁紧螺丝</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3——舱门锁紧搭扣</w:t>
      </w:r>
    </w:p>
    <w:p>
      <w:pPr>
        <w:widowControl/>
        <w:spacing w:after="0" w:line="312" w:lineRule="auto"/>
        <w:ind w:firstLine="420" w:firstLineChars="200"/>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14:textFill>
            <w14:solidFill>
              <w14:schemeClr w14:val="tx1"/>
            </w14:solidFill>
          </w14:textFill>
        </w:rPr>
        <w:t>4——舱</w:t>
      </w:r>
      <w:r>
        <w:rPr>
          <w:rFonts w:hint="eastAsia"/>
          <w:color w:val="000000" w:themeColor="text1"/>
          <w:szCs w:val="21"/>
          <w:lang w:val="en-US" w:eastAsia="zh-CN"/>
          <w14:textFill>
            <w14:solidFill>
              <w14:schemeClr w14:val="tx1"/>
            </w14:solidFill>
          </w14:textFill>
        </w:rPr>
        <w:t>体</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5——信息显示操作屏</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6——内置制氧设备</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7</w:t>
      </w:r>
      <w:r>
        <w:rPr>
          <w:rFonts w:hint="eastAsia"/>
          <w:color w:val="000000" w:themeColor="text1"/>
          <w:szCs w:val="21"/>
          <w14:textFill>
            <w14:solidFill>
              <w14:schemeClr w14:val="tx1"/>
            </w14:solidFill>
          </w14:textFill>
        </w:rPr>
        <w:t>——安全阀</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8</w:t>
      </w:r>
      <w:r>
        <w:rPr>
          <w:rFonts w:hint="eastAsia"/>
          <w:color w:val="000000" w:themeColor="text1"/>
          <w:szCs w:val="21"/>
          <w14:textFill>
            <w14:solidFill>
              <w14:schemeClr w14:val="tx1"/>
            </w14:solidFill>
          </w14:textFill>
        </w:rPr>
        <w:t>——手动泄压阀</w:t>
      </w:r>
    </w:p>
    <w:p>
      <w:pPr>
        <w:widowControl/>
        <w:spacing w:after="0" w:line="312"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9</w:t>
      </w:r>
      <w:r>
        <w:rPr>
          <w:rFonts w:hint="eastAsia"/>
          <w:color w:val="000000" w:themeColor="text1"/>
          <w:szCs w:val="21"/>
          <w14:textFill>
            <w14:solidFill>
              <w14:schemeClr w14:val="tx1"/>
            </w14:solidFill>
          </w14:textFill>
        </w:rPr>
        <w:t>——接地保护装置</w:t>
      </w:r>
    </w:p>
    <w:p>
      <w:pPr>
        <w:widowControl/>
        <w:spacing w:before="156" w:beforeLines="50" w:after="156" w:afterLines="50" w:line="360" w:lineRule="auto"/>
        <w:outlineLvl w:val="1"/>
        <w:rPr>
          <w:rFonts w:ascii="Times New Roman" w:hAnsi="Times New Roman" w:eastAsiaTheme="minorEastAsia"/>
          <w:b/>
          <w:bCs/>
          <w:color w:val="000000" w:themeColor="text1"/>
          <w:kern w:val="0"/>
          <w:szCs w:val="21"/>
          <w14:textFill>
            <w14:solidFill>
              <w14:schemeClr w14:val="tx1"/>
            </w14:solidFill>
          </w14:textFill>
        </w:rPr>
      </w:pPr>
      <w:r>
        <w:rPr>
          <w:rFonts w:hint="eastAsia" w:ascii="Times New Roman" w:hAnsi="Times New Roman" w:eastAsiaTheme="minorEastAsia"/>
          <w:b/>
          <w:bCs/>
          <w:color w:val="000000" w:themeColor="text1"/>
          <w:kern w:val="0"/>
          <w:szCs w:val="21"/>
          <w14:textFill>
            <w14:solidFill>
              <w14:schemeClr w14:val="tx1"/>
            </w14:solidFill>
          </w14:textFill>
        </w:rPr>
        <w:t>5 技术要求</w:t>
      </w:r>
    </w:p>
    <w:p>
      <w:pPr>
        <w:keepNext w:val="0"/>
        <w:keepLines w:val="0"/>
        <w:widowControl/>
        <w:suppressLineNumbers w:val="0"/>
        <w:jc w:val="left"/>
        <w:rPr>
          <w:rFonts w:hint="eastAsia" w:ascii="Calibri" w:hAnsi="Calibri" w:eastAsia="宋体" w:cs="Times New Roman"/>
          <w:i w:val="0"/>
          <w:caps w:val="0"/>
          <w:color w:val="1F1F1F"/>
          <w:spacing w:val="0"/>
          <w:kern w:val="2"/>
          <w:sz w:val="21"/>
          <w:szCs w:val="21"/>
          <w:shd w:val="clear" w:fill="auto"/>
          <w:lang w:val="en-US" w:eastAsia="zh-CN" w:bidi="ar"/>
        </w:rPr>
      </w:pPr>
      <w:r>
        <w:rPr>
          <w:rFonts w:hint="eastAsia" w:ascii="Calibri" w:hAnsi="Calibri" w:eastAsia="宋体" w:cs="Times New Roman"/>
          <w:i w:val="0"/>
          <w:caps w:val="0"/>
          <w:color w:val="1F1F1F"/>
          <w:spacing w:val="0"/>
          <w:kern w:val="2"/>
          <w:sz w:val="21"/>
          <w:szCs w:val="21"/>
          <w:shd w:val="clear" w:fill="auto"/>
          <w:lang w:val="en-US" w:eastAsia="zh-CN" w:bidi="ar"/>
        </w:rPr>
        <w:t>5.1制氧装置</w:t>
      </w:r>
    </w:p>
    <w:p>
      <w:pPr>
        <w:keepNext w:val="0"/>
        <w:keepLines w:val="0"/>
        <w:widowControl/>
        <w:suppressLineNumbers w:val="0"/>
        <w:spacing w:line="312" w:lineRule="auto"/>
        <w:jc w:val="left"/>
        <w:rPr>
          <w:rFonts w:hint="eastAsia" w:ascii="Calibri" w:hAnsi="Calibri" w:eastAsia="宋体" w:cs="Times New Roman"/>
          <w:i w:val="0"/>
          <w:caps w:val="0"/>
          <w:color w:val="1F1F1F"/>
          <w:spacing w:val="0"/>
          <w:kern w:val="2"/>
          <w:sz w:val="21"/>
          <w:szCs w:val="21"/>
          <w:shd w:val="clear" w:fill="auto"/>
          <w:lang w:val="en-US" w:eastAsia="zh-CN" w:bidi="ar"/>
        </w:rPr>
      </w:pPr>
      <w:r>
        <w:rPr>
          <w:rFonts w:hint="eastAsia" w:ascii="Calibri" w:hAnsi="Calibri" w:eastAsia="宋体" w:cs="Times New Roman"/>
          <w:i w:val="0"/>
          <w:caps w:val="0"/>
          <w:color w:val="1F1F1F"/>
          <w:spacing w:val="0"/>
          <w:kern w:val="2"/>
          <w:sz w:val="21"/>
          <w:szCs w:val="21"/>
          <w:shd w:val="clear" w:fill="auto"/>
          <w:lang w:val="en-US" w:eastAsia="zh-CN" w:bidi="ar"/>
        </w:rPr>
        <w:t>5.1.1</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制氧</w:t>
      </w:r>
      <w:r>
        <w:rPr>
          <w:rFonts w:hint="eastAsia" w:cs="Times New Roman"/>
          <w:color w:val="000000" w:themeColor="text1"/>
          <w:kern w:val="2"/>
          <w:sz w:val="21"/>
          <w:szCs w:val="21"/>
          <w:lang w:val="en-US" w:eastAsia="zh-CN" w:bidi="ar"/>
          <w14:textFill>
            <w14:solidFill>
              <w14:schemeClr w14:val="tx1"/>
            </w14:solidFill>
          </w14:textFill>
        </w:rPr>
        <w:t>装置</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所制富氧气体应无异味。</w:t>
      </w:r>
    </w:p>
    <w:p>
      <w:pPr>
        <w:keepNext w:val="0"/>
        <w:keepLines w:val="0"/>
        <w:widowControl/>
        <w:suppressLineNumbers w:val="0"/>
        <w:spacing w:line="240" w:lineRule="auto"/>
        <w:jc w:val="left"/>
        <w:rPr>
          <w:rFonts w:hint="eastAsia" w:ascii="Calibri" w:hAnsi="Calibri" w:eastAsia="宋体" w:cs="Times New Roman"/>
          <w:i w:val="0"/>
          <w:caps w:val="0"/>
          <w:color w:val="1F1F1F"/>
          <w:spacing w:val="0"/>
          <w:kern w:val="2"/>
          <w:sz w:val="21"/>
          <w:szCs w:val="21"/>
          <w:shd w:val="clear" w:fill="auto"/>
          <w:lang w:val="en-US" w:eastAsia="zh-CN" w:bidi="ar"/>
        </w:rPr>
      </w:pPr>
      <w:r>
        <w:rPr>
          <w:rFonts w:hint="eastAsia" w:ascii="Calibri" w:hAnsi="Calibri" w:eastAsia="宋体" w:cs="Times New Roman"/>
          <w:i w:val="0"/>
          <w:caps w:val="0"/>
          <w:color w:val="1F1F1F"/>
          <w:spacing w:val="0"/>
          <w:kern w:val="2"/>
          <w:sz w:val="21"/>
          <w:szCs w:val="21"/>
          <w:shd w:val="clear" w:fill="auto"/>
          <w:lang w:val="en-US" w:eastAsia="zh-CN" w:bidi="ar"/>
        </w:rPr>
        <w:t>5.1.2制氧</w:t>
      </w:r>
      <w:r>
        <w:rPr>
          <w:rFonts w:hint="eastAsia" w:cs="Times New Roman"/>
          <w:i w:val="0"/>
          <w:caps w:val="0"/>
          <w:color w:val="1F1F1F"/>
          <w:spacing w:val="0"/>
          <w:kern w:val="2"/>
          <w:sz w:val="21"/>
          <w:szCs w:val="21"/>
          <w:shd w:val="clear" w:fill="auto"/>
          <w:lang w:val="en-US" w:eastAsia="zh-CN" w:bidi="ar"/>
        </w:rPr>
        <w:t>装置</w:t>
      </w:r>
      <w:r>
        <w:rPr>
          <w:rFonts w:hint="eastAsia" w:ascii="Calibri" w:hAnsi="Calibri" w:eastAsia="宋体" w:cs="Times New Roman"/>
          <w:i w:val="0"/>
          <w:caps w:val="0"/>
          <w:color w:val="1F1F1F"/>
          <w:spacing w:val="0"/>
          <w:kern w:val="2"/>
          <w:sz w:val="21"/>
          <w:szCs w:val="21"/>
          <w:shd w:val="clear" w:fill="auto"/>
          <w:lang w:val="en-US" w:eastAsia="zh-CN" w:bidi="ar"/>
        </w:rPr>
        <w:t>输出的氧浓度应≥90</w:t>
      </w:r>
      <w:r>
        <w:rPr>
          <w:rFonts w:hint="eastAsia" w:cs="Times New Roman"/>
          <w:i w:val="0"/>
          <w:caps w:val="0"/>
          <w:color w:val="1F1F1F"/>
          <w:spacing w:val="0"/>
          <w:kern w:val="2"/>
          <w:sz w:val="21"/>
          <w:szCs w:val="21"/>
          <w:shd w:val="clear" w:fill="auto"/>
          <w:lang w:val="en-US" w:eastAsia="zh-CN" w:bidi="ar"/>
        </w:rPr>
        <w:t>.0</w:t>
      </w:r>
      <w:r>
        <w:rPr>
          <w:rFonts w:hint="eastAsia" w:ascii="Calibri" w:hAnsi="Calibri" w:eastAsia="宋体" w:cs="Times New Roman"/>
          <w:i w:val="0"/>
          <w:caps w:val="0"/>
          <w:color w:val="1F1F1F"/>
          <w:spacing w:val="0"/>
          <w:kern w:val="2"/>
          <w:sz w:val="21"/>
          <w:szCs w:val="21"/>
          <w:shd w:val="clear" w:fill="auto"/>
          <w:lang w:val="en-US" w:eastAsia="zh-CN" w:bidi="ar"/>
        </w:rPr>
        <w:t>%</w:t>
      </w:r>
      <w:r>
        <w:rPr>
          <w:rFonts w:hint="eastAsia" w:cs="Times New Roman"/>
          <w:i w:val="0"/>
          <w:caps w:val="0"/>
          <w:color w:val="1F1F1F"/>
          <w:spacing w:val="0"/>
          <w:kern w:val="2"/>
          <w:sz w:val="21"/>
          <w:szCs w:val="21"/>
          <w:shd w:val="clear" w:fill="auto"/>
          <w:lang w:val="en-US" w:eastAsia="zh-CN" w:bidi="ar"/>
        </w:rPr>
        <w:t>（V</w:t>
      </w:r>
      <w:r>
        <w:rPr>
          <w:rStyle w:val="10"/>
          <w:rFonts w:hint="eastAsia" w:ascii="Calibri" w:hAnsi="Calibri" w:eastAsia="宋体" w:cs="Times New Roman"/>
          <w:b w:val="0"/>
          <w:i w:val="0"/>
          <w:caps w:val="0"/>
          <w:color w:val="1F1F1F"/>
          <w:spacing w:val="0"/>
          <w:kern w:val="2"/>
          <w:sz w:val="21"/>
          <w:szCs w:val="21"/>
          <w:shd w:val="clear" w:fill="auto"/>
          <w:lang w:val="en-US" w:eastAsia="zh-CN" w:bidi="ar"/>
        </w:rPr>
        <w:t>/</w:t>
      </w:r>
      <w:r>
        <w:rPr>
          <w:rStyle w:val="10"/>
          <w:rFonts w:hint="eastAsia" w:cs="Times New Roman"/>
          <w:b w:val="0"/>
          <w:i w:val="0"/>
          <w:caps w:val="0"/>
          <w:color w:val="1F1F1F"/>
          <w:spacing w:val="0"/>
          <w:kern w:val="2"/>
          <w:sz w:val="21"/>
          <w:szCs w:val="21"/>
          <w:shd w:val="clear" w:fill="auto"/>
          <w:lang w:val="en-US" w:eastAsia="zh-CN" w:bidi="ar"/>
        </w:rPr>
        <w:t>V</w:t>
      </w:r>
      <w:r>
        <w:rPr>
          <w:rStyle w:val="10"/>
          <w:rFonts w:hint="eastAsia" w:ascii="Calibri" w:hAnsi="Calibri" w:eastAsia="宋体" w:cs="Times New Roman"/>
          <w:b w:val="0"/>
          <w:i w:val="0"/>
          <w:caps w:val="0"/>
          <w:color w:val="1F1F1F"/>
          <w:spacing w:val="0"/>
          <w:kern w:val="2"/>
          <w:sz w:val="21"/>
          <w:szCs w:val="21"/>
          <w:shd w:val="clear" w:fill="auto"/>
          <w:lang w:val="en-US" w:eastAsia="zh-CN" w:bidi="ar"/>
        </w:rPr>
        <w:t>）</w:t>
      </w:r>
      <w:r>
        <w:rPr>
          <w:rFonts w:hint="eastAsia" w:eastAsia="宋体" w:cs="Times New Roman"/>
          <w:b w:val="0"/>
          <w:i w:val="0"/>
          <w:caps w:val="0"/>
          <w:color w:val="1F1F1F"/>
          <w:spacing w:val="0"/>
          <w:kern w:val="2"/>
          <w:sz w:val="21"/>
          <w:szCs w:val="21"/>
          <w:shd w:val="clear" w:fill="auto"/>
          <w:lang w:val="en-US" w:eastAsia="zh-CN" w:bidi="ar"/>
        </w:rPr>
        <w:t>。</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5.2 舱体</w:t>
      </w:r>
    </w:p>
    <w:p>
      <w:pPr>
        <w:keepNext w:val="0"/>
        <w:keepLines w:val="0"/>
        <w:widowControl/>
        <w:suppressLineNumbers w:val="0"/>
        <w:spacing w:line="312" w:lineRule="auto"/>
        <w:jc w:val="left"/>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5.2.1 舱体采用</w:t>
      </w:r>
      <w:r>
        <w:rPr>
          <w:rFonts w:hint="eastAsia"/>
          <w:color w:val="000000" w:themeColor="text1"/>
          <w:szCs w:val="21"/>
          <w:highlight w:val="none"/>
          <w:lang w:eastAsia="zh-CN"/>
          <w14:textFill>
            <w14:solidFill>
              <w14:schemeClr w14:val="tx1"/>
            </w14:solidFill>
          </w14:textFill>
        </w:rPr>
        <w:t>的</w:t>
      </w:r>
      <w:r>
        <w:rPr>
          <w:rFonts w:hint="eastAsia"/>
          <w:color w:val="000000" w:themeColor="text1"/>
          <w:szCs w:val="21"/>
          <w:highlight w:val="none"/>
          <w14:textFill>
            <w14:solidFill>
              <w14:schemeClr w14:val="tx1"/>
            </w14:solidFill>
          </w14:textFill>
        </w:rPr>
        <w:t>有机玻璃材料</w:t>
      </w:r>
      <w:r>
        <w:rPr>
          <w:rFonts w:hint="eastAsia"/>
          <w:color w:val="000000" w:themeColor="text1"/>
          <w:szCs w:val="21"/>
          <w:highlight w:val="none"/>
          <w:lang w:eastAsia="zh-CN"/>
          <w14:textFill>
            <w14:solidFill>
              <w14:schemeClr w14:val="tx1"/>
            </w14:solidFill>
          </w14:textFill>
        </w:rPr>
        <w:t>应采用浇筑有机玻璃管材。</w:t>
      </w:r>
      <w:r>
        <w:rPr>
          <w:rFonts w:hint="eastAsia"/>
          <w:color w:val="000000" w:themeColor="text1"/>
          <w:szCs w:val="21"/>
          <w:highlight w:val="none"/>
          <w:lang w:val="en-US" w:eastAsia="zh-CN"/>
          <w14:textFill>
            <w14:solidFill>
              <w14:schemeClr w14:val="tx1"/>
            </w14:solidFill>
          </w14:textFill>
        </w:rPr>
        <w:t>有机玻璃材料的</w:t>
      </w:r>
      <w:r>
        <w:rPr>
          <w:rFonts w:hint="eastAsia"/>
          <w:color w:val="000000" w:themeColor="text1"/>
          <w:szCs w:val="21"/>
          <w14:textFill>
            <w14:solidFill>
              <w14:schemeClr w14:val="tx1"/>
            </w14:solidFill>
          </w14:textFill>
        </w:rPr>
        <w:t>外观</w:t>
      </w:r>
      <w:r>
        <w:rPr>
          <w:rFonts w:hint="eastAsia"/>
          <w:color w:val="000000" w:themeColor="text1"/>
          <w:szCs w:val="21"/>
          <w:lang w:eastAsia="zh-CN"/>
          <w14:textFill>
            <w14:solidFill>
              <w14:schemeClr w14:val="tx1"/>
            </w14:solidFill>
          </w14:textFill>
        </w:rPr>
        <w:t>质量、物理力学性能应符合</w:t>
      </w:r>
      <w:r>
        <w:rPr>
          <w:rFonts w:hint="eastAsia" w:eastAsia="宋体"/>
          <w:color w:val="000000" w:themeColor="text1"/>
          <w:szCs w:val="21"/>
          <w:highlight w:val="none"/>
          <w14:textFill>
            <w14:solidFill>
              <w14:schemeClr w14:val="tx1"/>
            </w14:solidFill>
          </w14:textFill>
        </w:rPr>
        <w:t xml:space="preserve">GB </w:t>
      </w:r>
      <w:r>
        <w:rPr>
          <w:rFonts w:hint="eastAsia" w:eastAsia="宋体"/>
          <w:color w:val="000000" w:themeColor="text1"/>
          <w:szCs w:val="21"/>
          <w:highlight w:val="none"/>
          <w:lang w:val="en"/>
          <w14:textFill>
            <w14:solidFill>
              <w14:schemeClr w14:val="tx1"/>
            </w14:solidFill>
          </w14:textFill>
        </w:rPr>
        <w:t>/T121</w:t>
      </w:r>
      <w:r>
        <w:rPr>
          <w:rFonts w:hint="eastAsia"/>
          <w:color w:val="000000" w:themeColor="text1"/>
          <w:szCs w:val="21"/>
          <w:highlight w:val="none"/>
          <w:lang w:val="en"/>
          <w14:textFill>
            <w14:solidFill>
              <w14:schemeClr w14:val="tx1"/>
            </w14:solidFill>
          </w14:textFill>
        </w:rPr>
        <w:t>30</w:t>
      </w:r>
      <w:r>
        <w:rPr>
          <w:rFonts w:hint="eastAsia"/>
          <w:color w:val="000000" w:themeColor="text1"/>
          <w:szCs w:val="21"/>
          <w:highlight w:val="none"/>
          <w:lang w:val="en-US" w:eastAsia="zh-CN"/>
          <w14:textFill>
            <w14:solidFill>
              <w14:schemeClr w14:val="tx1"/>
            </w14:solidFill>
          </w14:textFill>
        </w:rPr>
        <w:t>-2020</w:t>
      </w:r>
      <w:r>
        <w:rPr>
          <w:rFonts w:hint="eastAsia"/>
          <w:color w:val="000000" w:themeColor="text1"/>
          <w:szCs w:val="21"/>
          <w:highlight w:val="none"/>
          <w:lang w:val="en"/>
          <w14:textFill>
            <w14:solidFill>
              <w14:schemeClr w14:val="tx1"/>
            </w14:solidFill>
          </w14:textFill>
        </w:rPr>
        <w:t>附录</w:t>
      </w:r>
      <w:r>
        <w:rPr>
          <w:rFonts w:hint="eastAsia"/>
          <w:color w:val="000000" w:themeColor="text1"/>
          <w:szCs w:val="21"/>
          <w:highlight w:val="none"/>
          <w14:textFill>
            <w14:solidFill>
              <w14:schemeClr w14:val="tx1"/>
            </w14:solidFill>
          </w14:textFill>
        </w:rPr>
        <w:t>A</w:t>
      </w:r>
      <w:r>
        <w:rPr>
          <w:rFonts w:hint="eastAsia"/>
          <w:color w:val="000000" w:themeColor="text1"/>
          <w:szCs w:val="21"/>
          <w:highlight w:val="none"/>
          <w:lang w:eastAsia="zh-CN"/>
          <w14:textFill>
            <w14:solidFill>
              <w14:schemeClr w14:val="tx1"/>
            </w14:solidFill>
          </w14:textFill>
        </w:rPr>
        <w:t>中</w:t>
      </w:r>
      <w:r>
        <w:rPr>
          <w:rFonts w:hint="eastAsia"/>
          <w:color w:val="000000" w:themeColor="text1"/>
          <w:szCs w:val="21"/>
          <w:highlight w:val="none"/>
          <w:lang w:val="en-US" w:eastAsia="zh-CN"/>
          <w14:textFill>
            <w14:solidFill>
              <w14:schemeClr w14:val="tx1"/>
            </w14:solidFill>
          </w14:textFill>
        </w:rPr>
        <w:t>A.2.4的规定。</w:t>
      </w:r>
    </w:p>
    <w:p>
      <w:pPr>
        <w:keepNext w:val="0"/>
        <w:keepLines w:val="0"/>
        <w:widowControl/>
        <w:suppressLineNumbers w:val="0"/>
        <w:spacing w:line="312" w:lineRule="auto"/>
        <w:jc w:val="left"/>
        <w:rPr>
          <w:rFonts w:hint="eastAsia" w:eastAsia="宋体"/>
          <w:color w:val="000000" w:themeColor="text1"/>
          <w:szCs w:val="21"/>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5.2.2</w:t>
      </w:r>
      <w:r>
        <w:rPr>
          <w:rFonts w:hint="eastAsia"/>
          <w:color w:val="000000" w:themeColor="text1"/>
          <w:szCs w:val="21"/>
          <w14:textFill>
            <w14:solidFill>
              <w14:schemeClr w14:val="tx1"/>
            </w14:solidFill>
          </w14:textFill>
        </w:rPr>
        <w:t>有机玻璃材料受压元(部)件组装时，不应有开孔，不应施加除承受压力介质以及轴向端面密封所需载荷以外的其他载荷。</w:t>
      </w:r>
    </w:p>
    <w:p>
      <w:pPr>
        <w:spacing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5.2.3 舱体内部件的表面应避免出现粗糙、尖角及锐边，并应当固定牢靠。</w:t>
      </w:r>
    </w:p>
    <w:p>
      <w:pPr>
        <w:spacing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 舱门</w:t>
      </w:r>
    </w:p>
    <w:p>
      <w:pPr>
        <w:spacing w:line="312" w:lineRule="auto"/>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14:textFill>
            <w14:solidFill>
              <w14:schemeClr w14:val="tx1"/>
            </w14:solidFill>
          </w14:textFill>
        </w:rPr>
        <w:t>5.3.1 舱门上应配置机械压力表，</w:t>
      </w:r>
      <w:r>
        <w:rPr>
          <w:rFonts w:hint="eastAsia"/>
          <w:color w:val="000000" w:themeColor="text1"/>
          <w:szCs w:val="21"/>
          <w:highlight w:val="none"/>
          <w14:textFill>
            <w14:solidFill>
              <w14:schemeClr w14:val="tx1"/>
            </w14:solidFill>
          </w14:textFill>
        </w:rPr>
        <w:t>精度不低于2.5级。</w:t>
      </w:r>
      <w:r>
        <w:rPr>
          <w:rFonts w:hint="eastAsia"/>
          <w:color w:val="000000" w:themeColor="text1"/>
          <w:szCs w:val="21"/>
          <w14:textFill>
            <w14:solidFill>
              <w14:schemeClr w14:val="tx1"/>
            </w14:solidFill>
          </w14:textFill>
        </w:rPr>
        <w:t>压力表的</w:t>
      </w:r>
      <w:r>
        <w:rPr>
          <w:rFonts w:hint="eastAsia"/>
          <w:color w:val="000000" w:themeColor="text1"/>
          <w:szCs w:val="21"/>
          <w:lang w:eastAsia="zh-CN"/>
          <w14:textFill>
            <w14:solidFill>
              <w14:schemeClr w14:val="tx1"/>
            </w14:solidFill>
          </w14:textFill>
        </w:rPr>
        <w:t>示值</w:t>
      </w:r>
      <w:r>
        <w:rPr>
          <w:rFonts w:hint="eastAsia"/>
          <w:color w:val="000000" w:themeColor="text1"/>
          <w:szCs w:val="21"/>
          <w14:textFill>
            <w14:solidFill>
              <w14:schemeClr w14:val="tx1"/>
            </w14:solidFill>
          </w14:textFill>
        </w:rPr>
        <w:t>应与显示屏的舱室压力表</w:t>
      </w:r>
      <w:r>
        <w:rPr>
          <w:rFonts w:hint="eastAsia"/>
          <w:color w:val="000000" w:themeColor="text1"/>
          <w:szCs w:val="21"/>
          <w:lang w:eastAsia="zh-CN"/>
          <w14:textFill>
            <w14:solidFill>
              <w14:schemeClr w14:val="tx1"/>
            </w14:solidFill>
          </w14:textFill>
        </w:rPr>
        <w:t>示值的</w:t>
      </w:r>
      <w:r>
        <w:rPr>
          <w:rFonts w:hint="eastAsia"/>
          <w:color w:val="000000" w:themeColor="text1"/>
          <w:szCs w:val="21"/>
          <w14:textFill>
            <w14:solidFill>
              <w14:schemeClr w14:val="tx1"/>
            </w14:solidFill>
          </w14:textFill>
        </w:rPr>
        <w:t>误差不大于</w:t>
      </w:r>
      <w:r>
        <w:rPr>
          <w:rFonts w:hint="eastAsia"/>
          <w:color w:val="000000" w:themeColor="text1"/>
          <w:szCs w:val="21"/>
          <w:highlight w:val="none"/>
          <w14:textFill>
            <w14:solidFill>
              <w14:schemeClr w14:val="tx1"/>
            </w14:solidFill>
          </w14:textFill>
        </w:rPr>
        <w:t>±</w:t>
      </w:r>
      <w:r>
        <w:rPr>
          <w:rFonts w:hint="eastAsia"/>
          <w:color w:val="000000" w:themeColor="text1"/>
          <w:szCs w:val="21"/>
          <w:highlight w:val="none"/>
          <w:lang w:val="en"/>
          <w14:textFill>
            <w14:solidFill>
              <w14:schemeClr w14:val="tx1"/>
            </w14:solidFill>
          </w14:textFill>
        </w:rPr>
        <w:t>2.5</w:t>
      </w:r>
      <w:r>
        <w:rPr>
          <w:rFonts w:hint="eastAsia"/>
          <w:color w:val="000000" w:themeColor="text1"/>
          <w:szCs w:val="21"/>
          <w:highlight w:val="none"/>
          <w:lang w:val="en-US" w:eastAsia="zh-CN"/>
          <w14:textFill>
            <w14:solidFill>
              <w14:schemeClr w14:val="tx1"/>
            </w14:solidFill>
          </w14:textFill>
        </w:rPr>
        <w:t>kP</w:t>
      </w:r>
      <w:r>
        <w:rPr>
          <w:rFonts w:hint="eastAsia"/>
          <w:color w:val="000000" w:themeColor="text1"/>
          <w:szCs w:val="21"/>
          <w:highlight w:val="none"/>
          <w14:textFill>
            <w14:solidFill>
              <w14:schemeClr w14:val="tx1"/>
            </w14:solidFill>
          </w14:textFill>
        </w:rPr>
        <w:t>a</w:t>
      </w:r>
      <w:r>
        <w:rPr>
          <w:rFonts w:hint="eastAsia"/>
          <w:color w:val="000000" w:themeColor="text1"/>
          <w:szCs w:val="21"/>
          <w:highlight w:val="none"/>
          <w:lang w:eastAsia="zh-CN"/>
          <w14:textFill>
            <w14:solidFill>
              <w14:schemeClr w14:val="tx1"/>
            </w14:solidFill>
          </w14:textFill>
        </w:rPr>
        <w:t>。</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5.3.2氧疗舱应设有安全锁紧提醒装置。锁紧装置</w:t>
      </w:r>
      <w:r>
        <w:rPr>
          <w:rFonts w:hint="eastAsia"/>
          <w:color w:val="000000" w:themeColor="text1"/>
          <w:szCs w:val="21"/>
          <w:lang w:val="en-US" w:eastAsia="zh-CN"/>
          <w14:textFill>
            <w14:solidFill>
              <w14:schemeClr w14:val="tx1"/>
            </w14:solidFill>
          </w14:textFill>
        </w:rPr>
        <w:t>未</w:t>
      </w:r>
      <w:r>
        <w:rPr>
          <w:rFonts w:hint="eastAsia"/>
          <w:color w:val="000000" w:themeColor="text1"/>
          <w:szCs w:val="21"/>
          <w14:textFill>
            <w14:solidFill>
              <w14:schemeClr w14:val="tx1"/>
            </w14:solidFill>
          </w14:textFill>
        </w:rPr>
        <w:t>到达规定位置，加压装置不应启动。</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5.4电气系统</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5.4.1 氧疗舱进舱电压不应高于24V。</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5.4.2 氧疗舱进舱导线不应有中间接头</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舱内导线与舱内电器的接点应焊接并裹以绝缘材料。</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 xml:space="preserve"> 对地漏电流</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氧疗舱设备的对地漏电流在正常状态下应不大于5mA，在单一故障状态下应不大于 10mA。</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电介质强度</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    电源输入端与舱体及控制台之间的绝缘强度应符合</w:t>
      </w:r>
      <w:r>
        <w:rPr>
          <w:rFonts w:hint="eastAsia"/>
          <w:color w:val="000000" w:themeColor="text1"/>
          <w:szCs w:val="21"/>
          <w:lang w:val="en"/>
          <w14:textFill>
            <w14:solidFill>
              <w14:schemeClr w14:val="tx1"/>
            </w14:solidFill>
          </w14:textFill>
        </w:rPr>
        <w:t>GB9706.1的规定。</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5.4.</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 xml:space="preserve"> 保护接地阻抗</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氧疗舱保护接地端子与已保护接地的所有可触及金属部分之间的阻抗不应超过0.2Ω。</w:t>
      </w:r>
    </w:p>
    <w:p>
      <w:pPr>
        <w:spacing w:line="312" w:lineRule="auto"/>
        <w:ind w:firstLine="0"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 压力调节系统</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5.5.1进气口与排气口应有效隔离，避免气体短路。</w:t>
      </w:r>
    </w:p>
    <w:p>
      <w:pPr>
        <w:spacing w:line="312" w:lineRule="auto"/>
        <w:rPr>
          <w:rFonts w:hint="eastAsia" w:eastAsia="宋体"/>
          <w:color w:val="000000" w:themeColor="text1"/>
          <w:szCs w:val="21"/>
          <w14:textFill>
            <w14:solidFill>
              <w14:schemeClr w14:val="tx1"/>
            </w14:solidFill>
          </w14:textFill>
        </w:rPr>
      </w:pPr>
      <w:r>
        <w:rPr>
          <w:rFonts w:hint="eastAsia" w:eastAsia="宋体"/>
          <w:color w:val="000000" w:themeColor="text1"/>
          <w:szCs w:val="21"/>
          <w14:textFill>
            <w14:solidFill>
              <w14:schemeClr w14:val="tx1"/>
            </w14:solidFill>
          </w14:textFill>
        </w:rPr>
        <w:t>5.5.2</w:t>
      </w:r>
      <w:r>
        <w:rPr>
          <w:rFonts w:hint="eastAsia" w:eastAsia="宋体"/>
          <w:color w:val="000000" w:themeColor="text1"/>
          <w:szCs w:val="21"/>
          <w:lang w:val="en-US" w:eastAsia="zh-CN"/>
          <w14:textFill>
            <w14:solidFill>
              <w14:schemeClr w14:val="tx1"/>
            </w14:solidFill>
          </w14:textFill>
        </w:rPr>
        <w:t xml:space="preserve"> 压力调节系统满载工作状态下，最大工作压力不低于设计压力的95%，不高于设计压力的120%。</w:t>
      </w:r>
      <w:r>
        <w:rPr>
          <w:rFonts w:hint="eastAsia" w:eastAsia="宋体"/>
          <w:color w:val="000000" w:themeColor="text1"/>
          <w:szCs w:val="21"/>
          <w14:textFill>
            <w14:solidFill>
              <w14:schemeClr w14:val="tx1"/>
            </w14:solidFill>
          </w14:textFill>
        </w:rPr>
        <w:t xml:space="preserve"> </w:t>
      </w:r>
    </w:p>
    <w:p>
      <w:pPr>
        <w:spacing w:line="312" w:lineRule="auto"/>
        <w:rPr>
          <w:rFonts w:hint="eastAsia" w:eastAsia="宋体"/>
          <w:color w:val="000000" w:themeColor="text1"/>
          <w:szCs w:val="21"/>
          <w14:textFill>
            <w14:solidFill>
              <w14:schemeClr w14:val="tx1"/>
            </w14:solidFill>
          </w14:textFill>
        </w:rPr>
      </w:pPr>
      <w:r>
        <w:rPr>
          <w:rFonts w:hint="eastAsia" w:eastAsia="宋体"/>
          <w:color w:val="000000" w:themeColor="text1"/>
          <w:szCs w:val="21"/>
          <w:lang w:val="en-US" w:eastAsia="zh-CN"/>
          <w14:textFill>
            <w14:solidFill>
              <w14:schemeClr w14:val="tx1"/>
            </w14:solidFill>
          </w14:textFill>
        </w:rPr>
        <w:t>5.5.3</w:t>
      </w:r>
      <w:r>
        <w:rPr>
          <w:rFonts w:hint="eastAsia" w:eastAsia="宋体"/>
          <w:color w:val="000000" w:themeColor="text1"/>
          <w:szCs w:val="21"/>
          <w14:textFill>
            <w14:solidFill>
              <w14:schemeClr w14:val="tx1"/>
            </w14:solidFill>
          </w14:textFill>
        </w:rPr>
        <w:t>应急排放装置</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氧疗舱应设置机械式快速开启的应急排放装置。应急排放时，舱内工作压力降至10kPa的时间应不大于1min。</w:t>
      </w:r>
    </w:p>
    <w:p>
      <w:pPr>
        <w:spacing w:line="312" w:lineRule="auto"/>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5.5.</w:t>
      </w: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 xml:space="preserve"> </w:t>
      </w:r>
      <w:r>
        <w:rPr>
          <w:rFonts w:hint="eastAsia"/>
          <w:color w:val="000000" w:themeColor="text1"/>
          <w:szCs w:val="21"/>
          <w:highlight w:val="none"/>
          <w:lang w:eastAsia="zh-CN"/>
          <w14:textFill>
            <w14:solidFill>
              <w14:schemeClr w14:val="tx1"/>
            </w14:solidFill>
          </w14:textFill>
        </w:rPr>
        <w:t>舱内</w:t>
      </w:r>
      <w:r>
        <w:rPr>
          <w:rFonts w:hint="eastAsia"/>
          <w:color w:val="000000" w:themeColor="text1"/>
          <w:szCs w:val="21"/>
          <w:highlight w:val="none"/>
          <w14:textFill>
            <w14:solidFill>
              <w14:schemeClr w14:val="tx1"/>
            </w14:solidFill>
          </w14:textFill>
        </w:rPr>
        <w:t>最大供气噪声不大于 90 dB（A）。</w:t>
      </w:r>
    </w:p>
    <w:p>
      <w:pPr>
        <w:spacing w:line="312" w:lineRule="auto"/>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5.6舱体耐压性能</w:t>
      </w:r>
    </w:p>
    <w:p>
      <w:pPr>
        <w:spacing w:line="312" w:lineRule="auto"/>
        <w:ind w:firstLine="420" w:firstLineChars="20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经1.15倍设计压力的加压试验，舱体应无异常响声、无泄漏、无可见变形。</w:t>
      </w:r>
    </w:p>
    <w:p>
      <w:pPr>
        <w:spacing w:line="312" w:lineRule="auto"/>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5.7 </w:t>
      </w:r>
      <w:r>
        <w:rPr>
          <w:rFonts w:hint="eastAsia"/>
          <w:color w:val="000000" w:themeColor="text1"/>
          <w:szCs w:val="21"/>
          <w:highlight w:val="none"/>
          <w14:textFill>
            <w14:solidFill>
              <w14:schemeClr w14:val="tx1"/>
            </w14:solidFill>
          </w14:textFill>
        </w:rPr>
        <w:t>舱体气密性</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舱体应具有良好的气密性，在加压</w:t>
      </w:r>
      <w:r>
        <w:rPr>
          <w:rFonts w:hint="eastAsia"/>
          <w:color w:val="000000" w:themeColor="text1"/>
          <w:szCs w:val="21"/>
          <w:highlight w:val="none"/>
          <w14:textFill>
            <w14:solidFill>
              <w14:schemeClr w14:val="tx1"/>
            </w14:solidFill>
          </w14:textFill>
        </w:rPr>
        <w:t>至设计压力</w:t>
      </w:r>
      <w:r>
        <w:rPr>
          <w:rFonts w:hint="eastAsia"/>
          <w:color w:val="000000" w:themeColor="text1"/>
          <w:szCs w:val="21"/>
          <w14:textFill>
            <w14:solidFill>
              <w14:schemeClr w14:val="tx1"/>
            </w14:solidFill>
          </w14:textFill>
        </w:rPr>
        <w:t>条件下，</w:t>
      </w:r>
      <w:r>
        <w:rPr>
          <w:rFonts w:hint="eastAsia"/>
          <w:color w:val="000000" w:themeColor="text1"/>
          <w:szCs w:val="21"/>
          <w:lang w:val="en-US" w:eastAsia="zh-CN"/>
          <w14:textFill>
            <w14:solidFill>
              <w14:schemeClr w14:val="tx1"/>
            </w14:solidFill>
          </w14:textFill>
        </w:rPr>
        <w:t>30</w:t>
      </w:r>
      <w:r>
        <w:rPr>
          <w:rFonts w:hint="eastAsia"/>
          <w:color w:val="000000" w:themeColor="text1"/>
          <w:szCs w:val="21"/>
          <w14:textFill>
            <w14:solidFill>
              <w14:schemeClr w14:val="tx1"/>
            </w14:solidFill>
          </w14:textFill>
        </w:rPr>
        <w:t>min时间内舱内压力降低小于5k</w:t>
      </w:r>
      <w:r>
        <w:rPr>
          <w:rFonts w:hint="eastAsia"/>
          <w:color w:val="000000" w:themeColor="text1"/>
          <w:szCs w:val="21"/>
          <w:lang w:val="en-US" w:eastAsia="zh-CN"/>
          <w14:textFill>
            <w14:solidFill>
              <w14:schemeClr w14:val="tx1"/>
            </w14:solidFill>
          </w14:textFill>
        </w:rPr>
        <w:t>P</w:t>
      </w:r>
      <w:r>
        <w:rPr>
          <w:rFonts w:hint="eastAsia"/>
          <w:color w:val="000000" w:themeColor="text1"/>
          <w:szCs w:val="21"/>
          <w14:textFill>
            <w14:solidFill>
              <w14:schemeClr w14:val="tx1"/>
            </w14:solidFill>
          </w14:textFill>
        </w:rPr>
        <w:t>a。</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 稳压状态下，舱内工作噪声应不大于65dB（</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5.9控制台应配置温湿度监测仪表，温度示值误差应不大于±2℃，湿度示值误差应不大于±5%。</w:t>
      </w:r>
    </w:p>
    <w:p>
      <w:pPr>
        <w:spacing w:line="312" w:lineRule="auto"/>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6  试验方法</w:t>
      </w:r>
    </w:p>
    <w:p>
      <w:pPr>
        <w:spacing w:line="312" w:lineRule="auto"/>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 xml:space="preserve">6.1 </w:t>
      </w:r>
      <w:r>
        <w:rPr>
          <w:rFonts w:hint="eastAsia"/>
          <w:color w:val="000000" w:themeColor="text1"/>
          <w:szCs w:val="21"/>
          <w:lang w:eastAsia="zh-CN"/>
          <w14:textFill>
            <w14:solidFill>
              <w14:schemeClr w14:val="tx1"/>
            </w14:solidFill>
          </w14:textFill>
        </w:rPr>
        <w:t>制氧装置</w:t>
      </w:r>
    </w:p>
    <w:p>
      <w:pPr>
        <w:spacing w:line="312" w:lineRule="auto"/>
        <w:rPr>
          <w:rFonts w:hint="eastAsia" w:eastAsia="宋体"/>
          <w:color w:val="000000" w:themeColor="text1"/>
          <w:szCs w:val="21"/>
          <w:highlight w:val="none"/>
          <w:lang w:val="en-US" w:eastAsia="zh-CN"/>
          <w14:textFill>
            <w14:solidFill>
              <w14:schemeClr w14:val="tx1"/>
            </w14:solidFill>
          </w14:textFill>
        </w:rPr>
      </w:pPr>
      <w:r>
        <w:rPr>
          <w:rFonts w:hint="eastAsia" w:eastAsia="宋体"/>
          <w:color w:val="000000" w:themeColor="text1"/>
          <w:szCs w:val="21"/>
          <w:highlight w:val="none"/>
          <w:lang w:val="en-US" w:eastAsia="zh-CN"/>
          <w14:textFill>
            <w14:solidFill>
              <w14:schemeClr w14:val="tx1"/>
            </w14:solidFill>
          </w14:textFill>
        </w:rPr>
        <w:t xml:space="preserve">6.1.1 </w:t>
      </w:r>
      <w:r>
        <w:rPr>
          <w:rFonts w:hint="eastAsia" w:eastAsia="宋体"/>
          <w:color w:val="000000" w:themeColor="text1"/>
          <w:szCs w:val="21"/>
          <w:highlight w:val="none"/>
          <w14:textFill>
            <w14:solidFill>
              <w14:schemeClr w14:val="tx1"/>
            </w14:solidFill>
          </w14:textFill>
        </w:rPr>
        <w:t>气味通过嗅觉器官测定。</w:t>
      </w:r>
    </w:p>
    <w:p>
      <w:pPr>
        <w:spacing w:line="312" w:lineRule="auto"/>
        <w:rPr>
          <w:rFonts w:hint="eastAsia" w:eastAsia="宋体"/>
          <w:color w:val="000000" w:themeColor="text1"/>
          <w:szCs w:val="21"/>
          <w:highlight w:val="none"/>
          <w:lang w:val="en-US" w:eastAsia="zh-CN"/>
          <w14:textFill>
            <w14:solidFill>
              <w14:schemeClr w14:val="tx1"/>
            </w14:solidFill>
          </w14:textFill>
        </w:rPr>
      </w:pPr>
      <w:r>
        <w:rPr>
          <w:rFonts w:hint="eastAsia" w:eastAsia="宋体"/>
          <w:color w:val="000000" w:themeColor="text1"/>
          <w:szCs w:val="21"/>
          <w:highlight w:val="none"/>
          <w:lang w:val="en-US" w:eastAsia="zh-CN"/>
          <w14:textFill>
            <w14:solidFill>
              <w14:schemeClr w14:val="tx1"/>
            </w14:solidFill>
          </w14:textFill>
        </w:rPr>
        <w:t xml:space="preserve">6.1.2 </w:t>
      </w:r>
      <w:r>
        <w:rPr>
          <w:rFonts w:hint="eastAsia" w:eastAsia="宋体"/>
          <w:color w:val="000000" w:themeColor="text1"/>
          <w:szCs w:val="21"/>
          <w:highlight w:val="none"/>
          <w14:textFill>
            <w14:solidFill>
              <w14:schemeClr w14:val="tx1"/>
            </w14:solidFill>
          </w14:textFill>
        </w:rPr>
        <w:t>将制氧机调至额定流量输出</w:t>
      </w:r>
      <w:r>
        <w:rPr>
          <w:rFonts w:hint="eastAsia" w:eastAsia="宋体"/>
          <w:color w:val="000000" w:themeColor="text1"/>
          <w:szCs w:val="21"/>
          <w:highlight w:val="none"/>
          <w:lang w:val="en-US" w:eastAsia="zh-CN"/>
          <w14:textFill>
            <w14:solidFill>
              <w14:schemeClr w14:val="tx1"/>
            </w14:solidFill>
          </w14:textFill>
        </w:rPr>
        <w:t>，稳定工作状态下，使用气体浓度测定装置测量制氧机输出口位置的氧气浓度。</w:t>
      </w:r>
    </w:p>
    <w:p>
      <w:pPr>
        <w:spacing w:line="312" w:lineRule="auto"/>
        <w:rPr>
          <w:rFonts w:hint="eastAsia" w:eastAsia="宋体"/>
          <w:color w:val="000000" w:themeColor="text1"/>
          <w:szCs w:val="21"/>
          <w:highlight w:val="none"/>
          <w14:textFill>
            <w14:solidFill>
              <w14:schemeClr w14:val="tx1"/>
            </w14:solidFill>
          </w14:textFill>
        </w:rPr>
      </w:pPr>
      <w:r>
        <w:rPr>
          <w:rFonts w:hint="eastAsia" w:eastAsia="宋体"/>
          <w:color w:val="000000" w:themeColor="text1"/>
          <w:szCs w:val="21"/>
          <w:highlight w:val="none"/>
          <w14:textFill>
            <w14:solidFill>
              <w14:schemeClr w14:val="tx1"/>
            </w14:solidFill>
          </w14:textFill>
        </w:rPr>
        <w:t>6.2舱体</w:t>
      </w:r>
    </w:p>
    <w:p>
      <w:pPr>
        <w:spacing w:line="312" w:lineRule="auto"/>
        <w:rPr>
          <w:rFonts w:hint="eastAsia" w:eastAsia="宋体"/>
          <w:color w:val="000000" w:themeColor="text1"/>
          <w:szCs w:val="21"/>
          <w:highlight w:val="none"/>
          <w14:textFill>
            <w14:solidFill>
              <w14:schemeClr w14:val="tx1"/>
            </w14:solidFill>
          </w14:textFill>
        </w:rPr>
      </w:pPr>
      <w:r>
        <w:rPr>
          <w:rFonts w:hint="eastAsia" w:eastAsia="宋体"/>
          <w:color w:val="000000" w:themeColor="text1"/>
          <w:szCs w:val="21"/>
          <w:highlight w:val="none"/>
          <w14:textFill>
            <w14:solidFill>
              <w14:schemeClr w14:val="tx1"/>
            </w14:solidFill>
          </w14:textFill>
        </w:rPr>
        <w:t>6.2.1检查</w:t>
      </w:r>
      <w:r>
        <w:rPr>
          <w:rFonts w:hint="eastAsia" w:eastAsia="宋体"/>
          <w:color w:val="000000" w:themeColor="text1"/>
          <w:szCs w:val="21"/>
          <w:highlight w:val="none"/>
          <w:lang w:eastAsia="zh-CN"/>
          <w14:textFill>
            <w14:solidFill>
              <w14:schemeClr w14:val="tx1"/>
            </w14:solidFill>
          </w14:textFill>
        </w:rPr>
        <w:t>舱体</w:t>
      </w:r>
      <w:r>
        <w:rPr>
          <w:rFonts w:hint="eastAsia" w:eastAsia="宋体"/>
          <w:color w:val="000000" w:themeColor="text1"/>
          <w:szCs w:val="21"/>
          <w:highlight w:val="none"/>
          <w14:textFill>
            <w14:solidFill>
              <w14:schemeClr w14:val="tx1"/>
            </w14:solidFill>
          </w14:textFill>
        </w:rPr>
        <w:t>材料的质量证明材料。</w:t>
      </w:r>
    </w:p>
    <w:p>
      <w:pPr>
        <w:spacing w:line="312" w:lineRule="auto"/>
        <w:rPr>
          <w:rFonts w:hint="eastAsia" w:eastAsia="宋体"/>
          <w:color w:val="000000" w:themeColor="text1"/>
          <w:szCs w:val="21"/>
          <w:highlight w:val="none"/>
          <w14:textFill>
            <w14:solidFill>
              <w14:schemeClr w14:val="tx1"/>
            </w14:solidFill>
          </w14:textFill>
        </w:rPr>
      </w:pPr>
      <w:r>
        <w:rPr>
          <w:rFonts w:hint="eastAsia" w:eastAsia="宋体"/>
          <w:color w:val="000000" w:themeColor="text1"/>
          <w:szCs w:val="21"/>
          <w:highlight w:val="none"/>
          <w14:textFill>
            <w14:solidFill>
              <w14:schemeClr w14:val="tx1"/>
            </w14:solidFill>
          </w14:textFill>
        </w:rPr>
        <w:t>6.2.2目测检查有机材料部件受压情况。</w:t>
      </w:r>
    </w:p>
    <w:p>
      <w:pPr>
        <w:spacing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6.2.3 目测及手感检查舱体内部件表面质量和固定情况。</w:t>
      </w:r>
    </w:p>
    <w:p>
      <w:pPr>
        <w:spacing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6.3舱门</w:t>
      </w:r>
    </w:p>
    <w:p>
      <w:pPr>
        <w:spacing w:line="312" w:lineRule="auto"/>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6.3.1 将舱体内加压至0.5倍</w:t>
      </w:r>
      <w:r>
        <w:rPr>
          <w:rFonts w:hint="eastAsia"/>
          <w:color w:val="000000" w:themeColor="text1"/>
          <w:szCs w:val="21"/>
          <w:lang w:val="en-US" w:eastAsia="zh-CN"/>
          <w14:textFill>
            <w14:solidFill>
              <w14:schemeClr w14:val="tx1"/>
            </w14:solidFill>
          </w14:textFill>
        </w:rPr>
        <w:t>设计</w:t>
      </w:r>
      <w:r>
        <w:rPr>
          <w:rFonts w:hint="eastAsia"/>
          <w:color w:val="000000" w:themeColor="text1"/>
          <w:szCs w:val="21"/>
          <w14:textFill>
            <w14:solidFill>
              <w14:schemeClr w14:val="tx1"/>
            </w14:solidFill>
          </w14:textFill>
        </w:rPr>
        <w:t>压力，计算压力表与显示屏示值误差。</w:t>
      </w:r>
    </w:p>
    <w:p>
      <w:pPr>
        <w:spacing w:line="312" w:lineRule="auto"/>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6.3.2 检查舱门安全锁紧提醒装置。</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 电气系统</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6.4.1使用电压表测量进</w:t>
      </w:r>
      <w:r>
        <w:rPr>
          <w:rFonts w:hint="eastAsia"/>
          <w:color w:val="000000" w:themeColor="text1"/>
          <w:szCs w:val="21"/>
          <w:lang w:eastAsia="zh-CN"/>
          <w14:textFill>
            <w14:solidFill>
              <w14:schemeClr w14:val="tx1"/>
            </w14:solidFill>
          </w14:textFill>
        </w:rPr>
        <w:t>舱</w:t>
      </w:r>
      <w:r>
        <w:rPr>
          <w:rFonts w:hint="eastAsia"/>
          <w:color w:val="000000" w:themeColor="text1"/>
          <w:szCs w:val="21"/>
          <w14:textFill>
            <w14:solidFill>
              <w14:schemeClr w14:val="tx1"/>
            </w14:solidFill>
          </w14:textFill>
        </w:rPr>
        <w:t>电压。</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6.4.2检查进舱导线情况。</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w:t>
      </w:r>
      <w:r>
        <w:rPr>
          <w:rFonts w:hint="eastAsia"/>
          <w:color w:val="000000" w:themeColor="text1"/>
          <w:szCs w:val="21"/>
          <w:lang w:val="en-US" w:eastAsia="zh-CN"/>
          <w14:textFill>
            <w14:solidFill>
              <w14:schemeClr w14:val="tx1"/>
            </w14:solidFill>
          </w14:textFill>
        </w:rPr>
        <w:t>3</w:t>
      </w:r>
      <w:r>
        <w:rPr>
          <w:rFonts w:hint="eastAsia"/>
          <w:color w:val="000000" w:themeColor="text1"/>
          <w:szCs w:val="21"/>
          <w14:textFill>
            <w14:solidFill>
              <w14:schemeClr w14:val="tx1"/>
            </w14:solidFill>
          </w14:textFill>
        </w:rPr>
        <w:t>对地漏电流</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使用漏电流测试仪测量电源输入端流入保护接地</w:t>
      </w:r>
      <w:r>
        <w:rPr>
          <w:rFonts w:hint="eastAsia"/>
          <w:color w:val="000000" w:themeColor="text1"/>
          <w:szCs w:val="21"/>
          <w:lang w:eastAsia="zh-CN"/>
          <w14:textFill>
            <w14:solidFill>
              <w14:schemeClr w14:val="tx1"/>
            </w14:solidFill>
          </w14:textFill>
        </w:rPr>
        <w:t>导</w:t>
      </w:r>
      <w:r>
        <w:rPr>
          <w:rFonts w:hint="eastAsia"/>
          <w:color w:val="000000" w:themeColor="text1"/>
          <w:szCs w:val="21"/>
          <w14:textFill>
            <w14:solidFill>
              <w14:schemeClr w14:val="tx1"/>
            </w14:solidFill>
          </w14:textFill>
        </w:rPr>
        <w:t>线或为保护接地外壳的漏电流。</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w:t>
      </w: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电介质强度</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使用交流电耐压测试仪测试电气设备电源输入端与舱体及控制台之间的绝缘强度。</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6.4.</w:t>
      </w: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 xml:space="preserve"> 保护接地阻抗</w:t>
      </w:r>
    </w:p>
    <w:p>
      <w:pPr>
        <w:spacing w:line="312" w:lineRule="auto"/>
        <w:ind w:firstLine="420" w:firstLineChars="200"/>
        <w:rPr>
          <w:rFonts w:hint="eastAsia" w:eastAsia="宋体"/>
          <w:color w:val="000000" w:themeColor="text1"/>
          <w:szCs w:val="21"/>
          <w14:textFill>
            <w14:solidFill>
              <w14:schemeClr w14:val="tx1"/>
            </w14:solidFill>
          </w14:textFill>
        </w:rPr>
      </w:pPr>
      <w:r>
        <w:rPr>
          <w:rFonts w:hint="eastAsia" w:eastAsia="宋体"/>
          <w:color w:val="000000" w:themeColor="text1"/>
          <w:szCs w:val="21"/>
          <w14:textFill>
            <w14:solidFill>
              <w14:schemeClr w14:val="tx1"/>
            </w14:solidFill>
          </w14:textFill>
        </w:rPr>
        <w:t>使用接地电阻测试仪测量网电源插头中的保护接地脚（或保护接地端子）与电气设备已保护接地的可触及金属外壳之间的阻抗。</w:t>
      </w:r>
    </w:p>
    <w:p>
      <w:pPr>
        <w:spacing w:line="312" w:lineRule="auto"/>
        <w:ind w:firstLine="0" w:firstLineChars="0"/>
        <w:rPr>
          <w:rFonts w:hint="eastAsia" w:eastAsia="宋体"/>
          <w:color w:val="000000" w:themeColor="text1"/>
          <w:szCs w:val="21"/>
          <w14:textFill>
            <w14:solidFill>
              <w14:schemeClr w14:val="tx1"/>
            </w14:solidFill>
          </w14:textFill>
        </w:rPr>
      </w:pPr>
      <w:r>
        <w:rPr>
          <w:rFonts w:hint="eastAsia" w:eastAsia="宋体"/>
          <w:color w:val="000000" w:themeColor="text1"/>
          <w:szCs w:val="21"/>
          <w14:textFill>
            <w14:solidFill>
              <w14:schemeClr w14:val="tx1"/>
            </w14:solidFill>
          </w14:textFill>
        </w:rPr>
        <w:t>6.5压力调节系统</w:t>
      </w:r>
    </w:p>
    <w:p>
      <w:pPr>
        <w:spacing w:line="312" w:lineRule="auto"/>
        <w:ind w:firstLine="0" w:firstLineChars="0"/>
        <w:rPr>
          <w:rFonts w:hint="eastAsia" w:eastAsia="宋体"/>
          <w:color w:val="000000" w:themeColor="text1"/>
          <w:szCs w:val="21"/>
          <w14:textFill>
            <w14:solidFill>
              <w14:schemeClr w14:val="tx1"/>
            </w14:solidFill>
          </w14:textFill>
        </w:rPr>
      </w:pPr>
      <w:r>
        <w:rPr>
          <w:rFonts w:hint="eastAsia" w:eastAsia="宋体"/>
          <w:color w:val="000000" w:themeColor="text1"/>
          <w:szCs w:val="21"/>
          <w14:textFill>
            <w14:solidFill>
              <w14:schemeClr w14:val="tx1"/>
            </w14:solidFill>
          </w14:textFill>
        </w:rPr>
        <w:t>6.5.1检查进气口与排气口隔离情况。</w:t>
      </w:r>
    </w:p>
    <w:p>
      <w:pPr>
        <w:spacing w:line="312" w:lineRule="auto"/>
        <w:ind w:firstLine="0" w:firstLineChars="0"/>
        <w:rPr>
          <w:rFonts w:hint="eastAsia" w:eastAsia="宋体"/>
          <w:color w:val="000000" w:themeColor="text1"/>
          <w:szCs w:val="21"/>
          <w:lang w:val="en-US" w:eastAsia="zh-CN"/>
          <w14:textFill>
            <w14:solidFill>
              <w14:schemeClr w14:val="tx1"/>
            </w14:solidFill>
          </w14:textFill>
        </w:rPr>
      </w:pPr>
      <w:r>
        <w:rPr>
          <w:rFonts w:hint="eastAsia" w:eastAsia="宋体"/>
          <w:color w:val="000000" w:themeColor="text1"/>
          <w:szCs w:val="21"/>
          <w14:textFill>
            <w14:solidFill>
              <w14:schemeClr w14:val="tx1"/>
            </w14:solidFill>
          </w14:textFill>
        </w:rPr>
        <w:t>6.5.2</w:t>
      </w:r>
      <w:r>
        <w:rPr>
          <w:rFonts w:hint="eastAsia" w:eastAsia="宋体"/>
          <w:color w:val="000000" w:themeColor="text1"/>
          <w:szCs w:val="21"/>
          <w:lang w:val="en-US" w:eastAsia="zh-CN"/>
          <w14:textFill>
            <w14:solidFill>
              <w14:schemeClr w14:val="tx1"/>
            </w14:solidFill>
          </w14:textFill>
        </w:rPr>
        <w:t xml:space="preserve"> 将压力表放置在舱室中心位置，设置氧疗舱的压力为标称的设计压力，增压到稳定状态后，测量舱内工作压力。 </w:t>
      </w:r>
    </w:p>
    <w:p>
      <w:pPr>
        <w:spacing w:line="312" w:lineRule="auto"/>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6.5.3</w:t>
      </w:r>
      <w:r>
        <w:rPr>
          <w:rFonts w:hint="eastAsia"/>
          <w:color w:val="000000" w:themeColor="text1"/>
          <w:szCs w:val="21"/>
          <w14:textFill>
            <w14:solidFill>
              <w14:schemeClr w14:val="tx1"/>
            </w14:solidFill>
          </w14:textFill>
        </w:rPr>
        <w:t>将氧疗舱舱内压力升至设计压力，打开应急排放装置，用秒表测量舱内工工作压力降至</w:t>
      </w:r>
      <w:r>
        <w:rPr>
          <w:rFonts w:hint="default"/>
          <w:color w:val="000000" w:themeColor="text1"/>
          <w:szCs w:val="21"/>
          <w:lang w:val="en"/>
          <w14:textFill>
            <w14:solidFill>
              <w14:schemeClr w14:val="tx1"/>
            </w14:solidFill>
          </w14:textFill>
        </w:rPr>
        <w:t>10k</w:t>
      </w:r>
      <w:r>
        <w:rPr>
          <w:rFonts w:hint="eastAsia"/>
          <w:color w:val="000000" w:themeColor="text1"/>
          <w:szCs w:val="21"/>
          <w14:textFill>
            <w14:solidFill>
              <w14:schemeClr w14:val="tx1"/>
            </w14:solidFill>
          </w14:textFill>
        </w:rPr>
        <w:t>Pa的时间。</w:t>
      </w:r>
    </w:p>
    <w:p>
      <w:pPr>
        <w:spacing w:line="312" w:lineRule="auto"/>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6.5.</w:t>
      </w: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供气噪声</w:t>
      </w:r>
    </w:p>
    <w:p>
      <w:pPr>
        <w:spacing w:line="312" w:lineRule="auto"/>
        <w:ind w:firstLine="420" w:firstLineChars="20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选取精度不低于</w:t>
      </w:r>
      <w:r>
        <w:rPr>
          <w:rFonts w:hint="eastAsia" w:ascii="Calibri" w:hAnsi="Calibri" w:eastAsia="宋体" w:cs="Times New Roman"/>
          <w:color w:val="000000" w:themeColor="text1"/>
          <w:szCs w:val="21"/>
          <w:highlight w:val="none"/>
          <w14:textFill>
            <w14:solidFill>
              <w14:schemeClr w14:val="tx1"/>
            </w14:solidFill>
          </w14:textFill>
        </w:rPr>
        <w:t>Ⅱ</w:t>
      </w:r>
      <w:r>
        <w:rPr>
          <w:rFonts w:hint="eastAsia"/>
          <w:color w:val="000000" w:themeColor="text1"/>
          <w:szCs w:val="21"/>
          <w:highlight w:val="none"/>
          <w14:textFill>
            <w14:solidFill>
              <w14:schemeClr w14:val="tx1"/>
            </w14:solidFill>
          </w14:textFill>
        </w:rPr>
        <w:t>级的声级计，将声级计放置于舱体中心位置。关闭舱门，调整进气阀以最大的升压速率将舱体内压力升至设计压力，记录噪声最大值。</w:t>
      </w:r>
    </w:p>
    <w:p>
      <w:pPr>
        <w:spacing w:line="312" w:lineRule="auto"/>
        <w:ind w:firstLine="0" w:firstLineChars="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6.6舱体耐压性能</w:t>
      </w:r>
    </w:p>
    <w:p>
      <w:pPr>
        <w:spacing w:line="312" w:lineRule="auto"/>
        <w:ind w:firstLine="420" w:firstLineChars="200"/>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将舱体内压力升至</w:t>
      </w:r>
      <w:r>
        <w:rPr>
          <w:rFonts w:hint="eastAsia"/>
          <w:color w:val="000000" w:themeColor="text1"/>
          <w:szCs w:val="21"/>
          <w:highlight w:val="none"/>
          <w14:textFill>
            <w14:solidFill>
              <w14:schemeClr w14:val="tx1"/>
            </w14:solidFill>
          </w14:textFill>
        </w:rPr>
        <w:t>1.15倍设计压力</w:t>
      </w:r>
      <w:r>
        <w:rPr>
          <w:rFonts w:hint="eastAsia"/>
          <w:color w:val="000000" w:themeColor="text1"/>
          <w:szCs w:val="21"/>
          <w14:textFill>
            <w14:solidFill>
              <w14:schemeClr w14:val="tx1"/>
            </w14:solidFill>
          </w14:textFill>
        </w:rPr>
        <w:t>，保压10min，目测观察。</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6.7舱体气密性</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将舱体内压力升至设计压力，关闭进气阀门30min，计算压力下降值。</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6.8工作噪声</w:t>
      </w:r>
    </w:p>
    <w:p>
      <w:pPr>
        <w:spacing w:line="312"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选取精度不低于</w:t>
      </w:r>
      <w:r>
        <w:rPr>
          <w:rFonts w:hint="eastAsia" w:ascii="文泉驿微米黑" w:hAnsi="文泉驿微米黑" w:eastAsia="文泉驿微米黑" w:cs="文泉驿微米黑"/>
          <w:color w:val="000000" w:themeColor="text1"/>
          <w:szCs w:val="21"/>
          <w14:textFill>
            <w14:solidFill>
              <w14:schemeClr w14:val="tx1"/>
            </w14:solidFill>
          </w14:textFill>
        </w:rPr>
        <w:t>Ⅱ</w:t>
      </w:r>
      <w:r>
        <w:rPr>
          <w:rFonts w:hint="eastAsia"/>
          <w:color w:val="000000" w:themeColor="text1"/>
          <w:szCs w:val="21"/>
          <w14:textFill>
            <w14:solidFill>
              <w14:schemeClr w14:val="tx1"/>
            </w14:solidFill>
          </w14:textFill>
        </w:rPr>
        <w:t>级的声级计，将声级计放置于舱体中心位置。测量在工作压力的稳压状态下噪声最大值。</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w:t>
      </w:r>
      <w:r>
        <w:rPr>
          <w:rFonts w:hint="eastAsia"/>
          <w:color w:val="000000" w:themeColor="text1"/>
          <w:szCs w:val="21"/>
          <w:lang w:val="en-US" w:eastAsia="zh-CN"/>
          <w14:textFill>
            <w14:solidFill>
              <w14:schemeClr w14:val="tx1"/>
            </w14:solidFill>
          </w14:textFill>
        </w:rPr>
        <w:t>9</w:t>
      </w:r>
      <w:r>
        <w:rPr>
          <w:rFonts w:hint="eastAsia"/>
          <w:color w:val="000000" w:themeColor="text1"/>
          <w:szCs w:val="21"/>
          <w14:textFill>
            <w14:solidFill>
              <w14:schemeClr w14:val="tx1"/>
            </w14:solidFill>
          </w14:textFill>
        </w:rPr>
        <w:t xml:space="preserve"> 使用温度量程5℃～50℃、相对湿度0%～100%、误差不超过</w:t>
      </w:r>
      <w:r>
        <w:rPr>
          <w:rFonts w:hint="eastAsia" w:ascii="文泉驿微米黑" w:hAnsi="文泉驿微米黑" w:eastAsia="文泉驿微米黑" w:cs="文泉驿微米黑"/>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0.7℃的数字式温湿度测量仪，将其放置舱内温湿度探头相同位置</w:t>
      </w:r>
      <w:r>
        <w:rPr>
          <w:rFonts w:hint="eastAsia"/>
          <w:color w:val="000000" w:themeColor="text1"/>
          <w:szCs w:val="21"/>
          <w:lang w:eastAsia="zh-CN"/>
          <w14:textFill>
            <w14:solidFill>
              <w14:schemeClr w14:val="tx1"/>
            </w14:solidFill>
          </w14:textFill>
        </w:rPr>
        <w:t>。氧疗舱运行达到稳压状态</w:t>
      </w:r>
      <w:r>
        <w:rPr>
          <w:rFonts w:hint="eastAsia"/>
          <w:color w:val="000000" w:themeColor="text1"/>
          <w:szCs w:val="21"/>
          <w14:textFill>
            <w14:solidFill>
              <w14:schemeClr w14:val="tx1"/>
            </w14:solidFill>
          </w14:textFill>
        </w:rPr>
        <w:t>后，计算两者测量</w:t>
      </w:r>
      <w:r>
        <w:rPr>
          <w:rFonts w:hint="eastAsia"/>
          <w:color w:val="000000" w:themeColor="text1"/>
          <w:szCs w:val="21"/>
          <w:lang w:eastAsia="zh-CN"/>
          <w14:textFill>
            <w14:solidFill>
              <w14:schemeClr w14:val="tx1"/>
            </w14:solidFill>
          </w14:textFill>
        </w:rPr>
        <w:t>温、湿度</w:t>
      </w:r>
      <w:r>
        <w:rPr>
          <w:rFonts w:hint="eastAsia"/>
          <w:color w:val="000000" w:themeColor="text1"/>
          <w:szCs w:val="21"/>
          <w14:textFill>
            <w14:solidFill>
              <w14:schemeClr w14:val="tx1"/>
            </w14:solidFill>
          </w14:textFill>
        </w:rPr>
        <w:t>数值</w:t>
      </w:r>
      <w:r>
        <w:rPr>
          <w:rFonts w:hint="eastAsia"/>
          <w:color w:val="000000" w:themeColor="text1"/>
          <w:szCs w:val="21"/>
          <w:lang w:eastAsia="zh-CN"/>
          <w14:textFill>
            <w14:solidFill>
              <w14:schemeClr w14:val="tx1"/>
            </w14:solidFill>
          </w14:textFill>
        </w:rPr>
        <w:t>的</w:t>
      </w:r>
      <w:r>
        <w:rPr>
          <w:rFonts w:hint="eastAsia"/>
          <w:color w:val="000000" w:themeColor="text1"/>
          <w:szCs w:val="21"/>
          <w14:textFill>
            <w14:solidFill>
              <w14:schemeClr w14:val="tx1"/>
            </w14:solidFill>
          </w14:textFill>
        </w:rPr>
        <w:t>绝对误差。</w:t>
      </w:r>
    </w:p>
    <w:p>
      <w:pPr>
        <w:spacing w:line="312" w:lineRule="auto"/>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7 铭牌</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7.1铭牌应至少包括下列内容：</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a)产品名称及型号；</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b)制造商名称；</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w:t>
      </w:r>
      <w:r>
        <w:rPr>
          <w:rFonts w:hint="default"/>
          <w:color w:val="000000" w:themeColor="text1"/>
          <w:szCs w:val="21"/>
          <w:lang w:val="en"/>
          <w14:textFill>
            <w14:solidFill>
              <w14:schemeClr w14:val="tx1"/>
            </w14:solidFill>
          </w14:textFill>
        </w:rPr>
        <w:t>)</w:t>
      </w:r>
      <w:r>
        <w:rPr>
          <w:rFonts w:hint="eastAsia"/>
          <w:color w:val="000000" w:themeColor="text1"/>
          <w:szCs w:val="21"/>
          <w14:textFill>
            <w14:solidFill>
              <w14:schemeClr w14:val="tx1"/>
            </w14:solidFill>
          </w14:textFill>
        </w:rPr>
        <w:t>产品执行标准；</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d)</w:t>
      </w:r>
      <w:r>
        <w:rPr>
          <w:rFonts w:hint="eastAsia"/>
          <w:color w:val="000000" w:themeColor="text1"/>
          <w:szCs w:val="21"/>
          <w:lang w:eastAsia="zh-CN"/>
          <w14:textFill>
            <w14:solidFill>
              <w14:schemeClr w14:val="tx1"/>
            </w14:solidFill>
          </w14:textFill>
        </w:rPr>
        <w:t>设计压力</w:t>
      </w:r>
      <w:r>
        <w:rPr>
          <w:rFonts w:hint="eastAsia"/>
          <w:color w:val="000000" w:themeColor="text1"/>
          <w:szCs w:val="21"/>
          <w14:textFill>
            <w14:solidFill>
              <w14:schemeClr w14:val="tx1"/>
            </w14:solidFill>
          </w14:textFill>
        </w:rPr>
        <w:t>；</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e)加压介质；</w:t>
      </w:r>
    </w:p>
    <w:p>
      <w:pPr>
        <w:spacing w:line="312" w:lineRule="auto"/>
        <w:rPr>
          <w:rFonts w:hint="eastAsia" w:eastAsia="宋体"/>
          <w:color w:val="000000" w:themeColor="text1"/>
          <w:szCs w:val="21"/>
          <w:lang w:eastAsia="zh-CN"/>
          <w14:textFill>
            <w14:solidFill>
              <w14:schemeClr w14:val="tx1"/>
            </w14:solidFill>
          </w14:textFill>
        </w:rPr>
      </w:pPr>
      <w:r>
        <w:rPr>
          <w:rFonts w:hint="eastAsia"/>
          <w:color w:val="000000" w:themeColor="text1"/>
          <w:szCs w:val="21"/>
          <w14:textFill>
            <w14:solidFill>
              <w14:schemeClr w14:val="tx1"/>
            </w14:solidFill>
          </w14:textFill>
        </w:rPr>
        <w:t>f )制造日期</w:t>
      </w:r>
      <w:r>
        <w:rPr>
          <w:rFonts w:hint="eastAsia"/>
          <w:color w:val="000000" w:themeColor="text1"/>
          <w:szCs w:val="21"/>
          <w:lang w:eastAsia="zh-CN"/>
          <w14:textFill>
            <w14:solidFill>
              <w14:schemeClr w14:val="tx1"/>
            </w14:solidFill>
          </w14:textFill>
        </w:rPr>
        <w:t>。</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7.2铭牌应置于明显位置，便于使用者观察。</w:t>
      </w:r>
    </w:p>
    <w:p>
      <w:pPr>
        <w:spacing w:line="312" w:lineRule="auto"/>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8 产品合格证及使用说明书</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8.1 产品独立包装内应附有产品合格证及产品说明书。</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8.2产品合格证及使用说明书应至少包括以下内容：</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a)制造单位名称</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联系方式和地址</w:t>
      </w:r>
      <w:r>
        <w:rPr>
          <w:rFonts w:hint="eastAsia"/>
          <w:color w:val="000000" w:themeColor="text1"/>
          <w:szCs w:val="21"/>
          <w14:textFill>
            <w14:solidFill>
              <w14:schemeClr w14:val="tx1"/>
            </w14:solidFill>
          </w14:textFill>
        </w:rPr>
        <w:t>及商标；</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b</w:t>
      </w:r>
      <w:r>
        <w:rPr>
          <w:rFonts w:hint="eastAsia"/>
          <w:color w:val="000000" w:themeColor="text1"/>
          <w:szCs w:val="21"/>
          <w14:textFill>
            <w14:solidFill>
              <w14:schemeClr w14:val="tx1"/>
            </w14:solidFill>
          </w14:textFill>
        </w:rPr>
        <w:t>)产品名称及型号；</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c</w:t>
      </w:r>
      <w:r>
        <w:rPr>
          <w:rFonts w:hint="eastAsia"/>
          <w:color w:val="000000" w:themeColor="text1"/>
          <w:szCs w:val="21"/>
          <w14:textFill>
            <w14:solidFill>
              <w14:schemeClr w14:val="tx1"/>
            </w14:solidFill>
          </w14:textFill>
        </w:rPr>
        <w:t>)质检员签字及检验专用章；</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d</w:t>
      </w:r>
      <w:r>
        <w:rPr>
          <w:rFonts w:hint="eastAsia"/>
          <w:color w:val="000000" w:themeColor="text1"/>
          <w:szCs w:val="21"/>
          <w14:textFill>
            <w14:solidFill>
              <w14:schemeClr w14:val="tx1"/>
            </w14:solidFill>
          </w14:textFill>
        </w:rPr>
        <w:t>)检验日期；</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e</w:t>
      </w:r>
      <w:r>
        <w:rPr>
          <w:rFonts w:hint="eastAsia"/>
          <w:color w:val="000000" w:themeColor="text1"/>
          <w:szCs w:val="21"/>
          <w14:textFill>
            <w14:solidFill>
              <w14:schemeClr w14:val="tx1"/>
            </w14:solidFill>
          </w14:textFill>
        </w:rPr>
        <w:t>)产品执行标准；</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f</w:t>
      </w:r>
      <w:r>
        <w:rPr>
          <w:rFonts w:hint="eastAsia"/>
          <w:color w:val="000000" w:themeColor="text1"/>
          <w:szCs w:val="21"/>
          <w14:textFill>
            <w14:solidFill>
              <w14:schemeClr w14:val="tx1"/>
            </w14:solidFill>
          </w14:textFill>
        </w:rPr>
        <w:t>）结构原理；</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g</w:t>
      </w:r>
      <w:r>
        <w:rPr>
          <w:rFonts w:hint="eastAsia"/>
          <w:color w:val="000000" w:themeColor="text1"/>
          <w:szCs w:val="21"/>
          <w14:textFill>
            <w14:solidFill>
              <w14:schemeClr w14:val="tx1"/>
            </w14:solidFill>
          </w14:textFill>
        </w:rPr>
        <w:t>）规格及技术性能；</w:t>
      </w:r>
    </w:p>
    <w:p>
      <w:pPr>
        <w:spacing w:line="312" w:lineRule="auto"/>
        <w:rPr>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h</w:t>
      </w:r>
      <w:r>
        <w:rPr>
          <w:rFonts w:hint="eastAsia"/>
          <w:color w:val="000000" w:themeColor="text1"/>
          <w:szCs w:val="21"/>
          <w14:textFill>
            <w14:solidFill>
              <w14:schemeClr w14:val="tx1"/>
            </w14:solidFill>
          </w14:textFill>
        </w:rPr>
        <w:t>）操作使用方法；</w:t>
      </w:r>
    </w:p>
    <w:p>
      <w:pPr>
        <w:spacing w:line="312" w:lineRule="auto"/>
        <w:rPr>
          <w:rFonts w:hint="eastAsia"/>
          <w:color w:val="000000" w:themeColor="text1"/>
          <w:szCs w:val="21"/>
          <w14:textFill>
            <w14:solidFill>
              <w14:schemeClr w14:val="tx1"/>
            </w14:solidFill>
          </w14:textFill>
        </w:rPr>
      </w:pPr>
      <w:r>
        <w:rPr>
          <w:rFonts w:hint="default"/>
          <w:color w:val="000000" w:themeColor="text1"/>
          <w:szCs w:val="21"/>
          <w:lang w:val="en"/>
          <w14:textFill>
            <w14:solidFill>
              <w14:schemeClr w14:val="tx1"/>
            </w14:solidFill>
          </w14:textFill>
        </w:rPr>
        <w:t>i</w:t>
      </w:r>
      <w:r>
        <w:rPr>
          <w:rFonts w:hint="eastAsia"/>
          <w:color w:val="000000" w:themeColor="text1"/>
          <w:szCs w:val="21"/>
          <w14:textFill>
            <w14:solidFill>
              <w14:schemeClr w14:val="tx1"/>
            </w14:solidFill>
          </w14:textFill>
        </w:rPr>
        <w:t>）安全注意事项；</w:t>
      </w:r>
    </w:p>
    <w:p>
      <w:pPr>
        <w:spacing w:line="312" w:lineRule="auto"/>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j</w:t>
      </w:r>
      <w:r>
        <w:rPr>
          <w:rFonts w:hint="eastAsia"/>
          <w:color w:val="000000" w:themeColor="text1"/>
          <w:szCs w:val="21"/>
          <w14:textFill>
            <w14:solidFill>
              <w14:schemeClr w14:val="tx1"/>
            </w14:solidFill>
          </w14:textFill>
        </w:rPr>
        <w:t xml:space="preserve"> )</w:t>
      </w:r>
      <w:r>
        <w:rPr>
          <w:rFonts w:hint="eastAsia"/>
          <w:color w:val="000000" w:themeColor="text1"/>
          <w:szCs w:val="21"/>
          <w:lang w:val="en-US" w:eastAsia="zh-CN"/>
          <w14:textFill>
            <w14:solidFill>
              <w14:schemeClr w14:val="tx1"/>
            </w14:solidFill>
          </w14:textFill>
        </w:rPr>
        <w:t xml:space="preserve"> 使用期限信息。</w:t>
      </w:r>
    </w:p>
    <w:p>
      <w:pPr>
        <w:spacing w:line="312" w:lineRule="auto"/>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9 包装运输储存</w:t>
      </w:r>
    </w:p>
    <w:p>
      <w:pPr>
        <w:spacing w:line="312" w:lineRule="auto"/>
        <w:rPr>
          <w:color w:val="000000" w:themeColor="text1"/>
          <w:szCs w:val="21"/>
          <w:lang w:val="en"/>
          <w14:textFill>
            <w14:solidFill>
              <w14:schemeClr w14:val="tx1"/>
            </w14:solidFill>
          </w14:textFill>
        </w:rPr>
      </w:pPr>
      <w:r>
        <w:rPr>
          <w:rFonts w:hint="eastAsia"/>
          <w:color w:val="000000" w:themeColor="text1"/>
          <w:szCs w:val="21"/>
          <w14:textFill>
            <w14:solidFill>
              <w14:schemeClr w14:val="tx1"/>
            </w14:solidFill>
          </w14:textFill>
        </w:rPr>
        <w:t>9.1外包装箱标志应符合</w:t>
      </w:r>
      <w:r>
        <w:rPr>
          <w:color w:val="000000" w:themeColor="text1"/>
          <w:szCs w:val="21"/>
          <w:lang w:val="en"/>
          <w14:textFill>
            <w14:solidFill>
              <w14:schemeClr w14:val="tx1"/>
            </w14:solidFill>
          </w14:textFill>
        </w:rPr>
        <w:t>GB/T191</w:t>
      </w:r>
      <w:r>
        <w:rPr>
          <w:rFonts w:hint="eastAsia"/>
          <w:color w:val="000000" w:themeColor="text1"/>
          <w:szCs w:val="21"/>
          <w:lang w:val="en"/>
          <w14:textFill>
            <w14:solidFill>
              <w14:schemeClr w14:val="tx1"/>
            </w14:solidFill>
          </w14:textFill>
        </w:rPr>
        <w:t>的规定。</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9.2包装箱内应附有装箱清单、随机文件及必要的配件。</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9.3运输及储存应防止雨淋及阳光直射，避免设备损坏和污染。</w:t>
      </w:r>
    </w:p>
    <w:p>
      <w:pPr>
        <w:spacing w:line="312" w:lineRule="auto"/>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10 检验规则</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10.1氧疗舱产品检验分为出厂检验及监督检验。</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10.2出厂检验</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10.2.1 制造商应</w:t>
      </w:r>
      <w:bookmarkStart w:id="3" w:name="OLE_LINK5"/>
      <w:bookmarkStart w:id="4" w:name="OLE_LINK6"/>
      <w:r>
        <w:rPr>
          <w:rFonts w:hint="eastAsia"/>
          <w:color w:val="000000" w:themeColor="text1"/>
          <w:szCs w:val="21"/>
          <w14:textFill>
            <w14:solidFill>
              <w14:schemeClr w14:val="tx1"/>
            </w14:solidFill>
          </w14:textFill>
        </w:rPr>
        <w:t>在</w:t>
      </w:r>
      <w:bookmarkEnd w:id="3"/>
      <w:bookmarkEnd w:id="4"/>
      <w:r>
        <w:rPr>
          <w:rFonts w:hint="eastAsia"/>
          <w:color w:val="000000" w:themeColor="text1"/>
          <w:szCs w:val="21"/>
          <w14:textFill>
            <w14:solidFill>
              <w14:schemeClr w14:val="tx1"/>
            </w14:solidFill>
          </w14:textFill>
        </w:rPr>
        <w:t>产品出厂前进行检验</w:t>
      </w:r>
      <w:r>
        <w:rPr>
          <w:rFonts w:hint="eastAsia"/>
          <w:color w:val="000000" w:themeColor="text1"/>
          <w:szCs w:val="21"/>
          <w:lang w:eastAsia="zh-CN"/>
          <w14:textFill>
            <w14:solidFill>
              <w14:schemeClr w14:val="tx1"/>
            </w14:solidFill>
          </w14:textFill>
        </w:rPr>
        <w:t>及调试</w:t>
      </w:r>
      <w:r>
        <w:rPr>
          <w:rFonts w:hint="eastAsia"/>
          <w:color w:val="000000" w:themeColor="text1"/>
          <w:szCs w:val="21"/>
          <w14:textFill>
            <w14:solidFill>
              <w14:schemeClr w14:val="tx1"/>
            </w14:solidFill>
          </w14:textFill>
        </w:rPr>
        <w:t>，检验调试合格后应出具产品合格证。</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10.2.2出厂检验应逐台进行。</w:t>
      </w:r>
    </w:p>
    <w:p>
      <w:pPr>
        <w:spacing w:line="312"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10.2.3出厂检验的项目应至少包括5.4</w:t>
      </w:r>
      <w:r>
        <w:rPr>
          <w:rFonts w:hint="eastAsia"/>
          <w:color w:val="000000" w:themeColor="text1"/>
          <w:szCs w:val="21"/>
          <w:lang w:val="en-US" w:eastAsia="zh-CN"/>
          <w14:textFill>
            <w14:solidFill>
              <w14:schemeClr w14:val="tx1"/>
            </w14:solidFill>
          </w14:textFill>
        </w:rPr>
        <w:t>.3，5.4.4，5.4.5，</w:t>
      </w:r>
      <w:r>
        <w:rPr>
          <w:rFonts w:hint="eastAsia"/>
          <w:color w:val="000000" w:themeColor="text1"/>
          <w:szCs w:val="21"/>
          <w14:textFill>
            <w14:solidFill>
              <w14:schemeClr w14:val="tx1"/>
            </w14:solidFill>
          </w14:textFill>
        </w:rPr>
        <w:t xml:space="preserve"> 5.5</w:t>
      </w:r>
      <w:r>
        <w:rPr>
          <w:rFonts w:hint="eastAsia"/>
          <w:color w:val="000000" w:themeColor="text1"/>
          <w:szCs w:val="21"/>
          <w:lang w:val="en-US" w:eastAsia="zh-CN"/>
          <w14:textFill>
            <w14:solidFill>
              <w14:schemeClr w14:val="tx1"/>
            </w14:solidFill>
          </w14:textFill>
        </w:rPr>
        <w:t>.2，5.2.3，</w:t>
      </w:r>
      <w:r>
        <w:rPr>
          <w:rFonts w:hint="eastAsia"/>
          <w:color w:val="000000" w:themeColor="text1"/>
          <w:szCs w:val="21"/>
          <w14:textFill>
            <w14:solidFill>
              <w14:schemeClr w14:val="tx1"/>
            </w14:solidFill>
          </w14:textFill>
        </w:rPr>
        <w:t xml:space="preserve"> 5.6</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5.7的相关要求。</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10.3 监督检验应按照农业农村主管部门要求进行。</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10.4判定原则</w:t>
      </w:r>
    </w:p>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出厂检验及监督检验的检验项目全部合格，方可判定为合格产品。</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r>
        <w:rPr>
          <w:color w:val="000000" w:themeColor="text1"/>
          <w:sz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1395730</wp:posOffset>
                </wp:positionH>
                <wp:positionV relativeFrom="paragraph">
                  <wp:posOffset>210820</wp:posOffset>
                </wp:positionV>
                <wp:extent cx="2095500" cy="635"/>
                <wp:effectExtent l="0" t="0" r="0" b="0"/>
                <wp:wrapNone/>
                <wp:docPr id="1" name="直接连接符 1"/>
                <wp:cNvGraphicFramePr/>
                <a:graphic xmlns:a="http://schemas.openxmlformats.org/drawingml/2006/main">
                  <a:graphicData uri="http://schemas.microsoft.com/office/word/2010/wordprocessingShape">
                    <wps:wsp>
                      <wps:cNvCnPr/>
                      <wps:spPr>
                        <a:xfrm>
                          <a:off x="2538730" y="9660255"/>
                          <a:ext cx="2095500"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09.9pt;margin-top:16.6pt;height:0.05pt;width:165pt;z-index:251659264;mso-width-relative:page;mso-height-relative:page;" filled="f" stroked="t" coordsize="21600,21600" o:gfxdata="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Ah&#10;5vEO2AAAAAkBAAAPAAAAAAAAAAEAIAAAADgAAABkcnMvZG93bnJldi54bWxQSwECFAAUAAAACACH&#10;TuJA3G8dwNUBAAByAwAADgAAAAAAAAABACAAAAA9AQAAZHJzL2Uyb0RvYy54bWxQSwUGAAAAAAYA&#10;BgBZAQAAhAUAAAAA&#10;">
                <v:fill on="f" focussize="0,0"/>
                <v:stroke weight="1pt" color="#000000 [3200]" miterlimit="8" joinstyle="miter"/>
                <v:imagedata o:title=""/>
                <o:lock v:ext="edit" aspectratio="f"/>
              </v:line>
            </w:pict>
          </mc:Fallback>
        </mc:AlternateConten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附录A</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（资料性附录）</w:t>
      </w:r>
    </w:p>
    <w:p>
      <w:pPr>
        <w:keepNext w:val="0"/>
        <w:keepLines w:val="0"/>
        <w:widowControl/>
        <w:suppressLineNumbers w:val="0"/>
        <w:jc w:val="center"/>
        <w:rPr>
          <w:rFonts w:hint="default" w:eastAsia="宋体" w:cs="宋体" w:asciiTheme="minorAscii" w:hAnsiTheme="minorAscii"/>
          <w:b/>
          <w:bCs/>
          <w:color w:val="000000" w:themeColor="text1"/>
          <w:sz w:val="21"/>
          <w:szCs w:val="21"/>
          <w:lang w:val="en-US" w:eastAsia="zh-CN"/>
          <w14:textFill>
            <w14:solidFill>
              <w14:schemeClr w14:val="tx1"/>
            </w14:solidFill>
          </w14:textFill>
        </w:rPr>
      </w:pPr>
      <w:r>
        <w:rPr>
          <w:rFonts w:hint="eastAsia" w:eastAsia="宋体" w:cs="宋体" w:asciiTheme="majorAscii" w:hAnsiTheme="majorAscii"/>
          <w:b/>
          <w:bCs/>
          <w:color w:val="000000" w:themeColor="text1"/>
          <w:kern w:val="0"/>
          <w:sz w:val="21"/>
          <w:szCs w:val="21"/>
          <w:lang w:val="en-US" w:eastAsia="zh-CN" w:bidi="ar"/>
          <w14:textFill>
            <w14:solidFill>
              <w14:schemeClr w14:val="tx1"/>
            </w14:solidFill>
          </w14:textFill>
        </w:rPr>
        <w:t>动物</w:t>
      </w:r>
      <w:r>
        <w:rPr>
          <w:rFonts w:hint="default" w:eastAsia="宋体" w:cs="宋体" w:asciiTheme="majorAscii" w:hAnsiTheme="majorAscii"/>
          <w:b/>
          <w:bCs/>
          <w:color w:val="000000" w:themeColor="text1"/>
          <w:kern w:val="0"/>
          <w:sz w:val="21"/>
          <w:szCs w:val="21"/>
          <w:lang w:val="en-US" w:eastAsia="zh-CN" w:bidi="ar"/>
          <w14:textFill>
            <w14:solidFill>
              <w14:schemeClr w14:val="tx1"/>
            </w14:solidFill>
          </w14:textFill>
        </w:rPr>
        <w:t>氧</w:t>
      </w:r>
      <w:r>
        <w:rPr>
          <w:rFonts w:hint="eastAsia" w:eastAsia="宋体" w:cs="宋体" w:asciiTheme="majorAscii" w:hAnsiTheme="majorAscii"/>
          <w:b/>
          <w:bCs/>
          <w:color w:val="000000" w:themeColor="text1"/>
          <w:kern w:val="0"/>
          <w:sz w:val="21"/>
          <w:szCs w:val="21"/>
          <w:lang w:val="en-US" w:eastAsia="zh-CN" w:bidi="ar"/>
          <w14:textFill>
            <w14:solidFill>
              <w14:schemeClr w14:val="tx1"/>
            </w14:solidFill>
          </w14:textFill>
        </w:rPr>
        <w:t>疗</w:t>
      </w:r>
      <w:r>
        <w:rPr>
          <w:rFonts w:hint="default" w:eastAsia="宋体" w:cs="宋体" w:asciiTheme="majorAscii" w:hAnsiTheme="majorAscii"/>
          <w:b/>
          <w:bCs/>
          <w:color w:val="000000" w:themeColor="text1"/>
          <w:kern w:val="0"/>
          <w:sz w:val="21"/>
          <w:szCs w:val="21"/>
          <w:lang w:val="en-US" w:eastAsia="zh-CN" w:bidi="ar"/>
          <w14:textFill>
            <w14:solidFill>
              <w14:schemeClr w14:val="tx1"/>
            </w14:solidFill>
          </w14:textFill>
        </w:rPr>
        <w:t>舱安全使用</w:t>
      </w:r>
      <w:r>
        <w:rPr>
          <w:rFonts w:hint="eastAsia" w:eastAsia="宋体" w:cs="宋体" w:asciiTheme="majorAscii" w:hAnsiTheme="majorAscii"/>
          <w:b/>
          <w:bCs/>
          <w:color w:val="000000" w:themeColor="text1"/>
          <w:kern w:val="0"/>
          <w:sz w:val="21"/>
          <w:szCs w:val="21"/>
          <w:lang w:val="en-US" w:eastAsia="zh-CN" w:bidi="ar"/>
          <w14:textFill>
            <w14:solidFill>
              <w14:schemeClr w14:val="tx1"/>
            </w14:solidFill>
          </w14:textFill>
        </w:rPr>
        <w:t>建议</w:t>
      </w:r>
    </w:p>
    <w:p>
      <w:pPr>
        <w:numPr>
          <w:ilvl w:val="0"/>
          <w:numId w:val="0"/>
        </w:numPr>
        <w:rPr>
          <w:rFonts w:hint="eastAsia" w:ascii="Calibri" w:hAnsi="Calibri" w:eastAsia="宋体" w:cs="Times New Roman"/>
          <w:b/>
          <w:bCs/>
          <w:color w:val="000000" w:themeColor="text1"/>
          <w:sz w:val="21"/>
          <w:szCs w:val="21"/>
          <w:lang w:val="en-US" w:eastAsia="zh-CN"/>
          <w14:textFill>
            <w14:solidFill>
              <w14:schemeClr w14:val="tx1"/>
            </w14:solidFill>
          </w14:textFill>
        </w:rPr>
      </w:pPr>
      <w:r>
        <w:rPr>
          <w:rFonts w:hint="eastAsia" w:ascii="Calibri" w:hAnsi="Calibri" w:eastAsia="宋体" w:cs="Times New Roman"/>
          <w:b/>
          <w:bCs/>
          <w:color w:val="000000" w:themeColor="text1"/>
          <w:sz w:val="21"/>
          <w:szCs w:val="21"/>
          <w:lang w:val="en-US" w:eastAsia="zh-CN"/>
          <w14:textFill>
            <w14:solidFill>
              <w14:schemeClr w14:val="tx1"/>
            </w14:solidFill>
          </w14:textFill>
        </w:rPr>
        <w:t>A.1动物氧</w:t>
      </w:r>
      <w:r>
        <w:rPr>
          <w:rFonts w:hint="eastAsia" w:cs="Times New Roman"/>
          <w:b/>
          <w:bCs/>
          <w:color w:val="000000" w:themeColor="text1"/>
          <w:sz w:val="21"/>
          <w:szCs w:val="21"/>
          <w:lang w:val="en-US" w:eastAsia="zh-CN"/>
          <w14:textFill>
            <w14:solidFill>
              <w14:schemeClr w14:val="tx1"/>
            </w14:solidFill>
          </w14:textFill>
        </w:rPr>
        <w:t>疗</w:t>
      </w:r>
      <w:r>
        <w:rPr>
          <w:rFonts w:hint="eastAsia" w:ascii="Calibri" w:hAnsi="Calibri" w:eastAsia="宋体" w:cs="Times New Roman"/>
          <w:b/>
          <w:bCs/>
          <w:color w:val="000000" w:themeColor="text1"/>
          <w:sz w:val="21"/>
          <w:szCs w:val="21"/>
          <w:lang w:val="en-US" w:eastAsia="zh-CN"/>
          <w14:textFill>
            <w14:solidFill>
              <w14:schemeClr w14:val="tx1"/>
            </w14:solidFill>
          </w14:textFill>
        </w:rPr>
        <w:t>舱使用风险识别</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A.1.1 人员因素。操作人员误操作引发的安全隐患以及对周边人员的安全风险。</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A.1.2使用对象因素。动物躁动损毁舱内设施引发安全隐患，皮毛静电的火灾隐患等。</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A.1.3压力因素。动物氧疗舱内部压力大于大气压，舱体异常泄压、安全装置失效或误操作导致舱体爆裂、舱门异常打开引发人员安全事故。</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A.1.4 富氧环境因素。氧疗舱内部富氧环境存在极大火灾风险。舱体外部氧气泄露提高氧气浓度，遇火源导致火灾风险。</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A.1.5 电气安全因素。电气设施设计或故障引发电击事故导致人员及动物损伤，电火花导致火灾隐患。</w:t>
      </w:r>
    </w:p>
    <w:p>
      <w:pPr>
        <w:numPr>
          <w:ilvl w:val="0"/>
          <w:numId w:val="0"/>
        </w:numPr>
        <w:rPr>
          <w:rFonts w:hint="eastAsia" w:ascii="Calibri" w:hAnsi="Calibri" w:eastAsia="宋体" w:cs="Times New Roman"/>
          <w:b/>
          <w:bCs/>
          <w:color w:val="000000" w:themeColor="text1"/>
          <w:sz w:val="21"/>
          <w:szCs w:val="21"/>
          <w:lang w:val="en-US" w:eastAsia="zh-CN"/>
          <w14:textFill>
            <w14:solidFill>
              <w14:schemeClr w14:val="tx1"/>
            </w14:solidFill>
          </w14:textFill>
        </w:rPr>
      </w:pPr>
      <w:r>
        <w:rPr>
          <w:rFonts w:hint="eastAsia" w:ascii="Calibri" w:hAnsi="Calibri" w:eastAsia="宋体" w:cs="Times New Roman"/>
          <w:b/>
          <w:bCs/>
          <w:color w:val="000000" w:themeColor="text1"/>
          <w:sz w:val="21"/>
          <w:szCs w:val="21"/>
          <w:lang w:val="en-US" w:eastAsia="zh-CN"/>
          <w14:textFill>
            <w14:solidFill>
              <w14:schemeClr w14:val="tx1"/>
            </w14:solidFill>
          </w14:textFill>
        </w:rPr>
        <w:t>A.2安全使用建议</w:t>
      </w:r>
    </w:p>
    <w:p>
      <w:pPr>
        <w:numPr>
          <w:ilvl w:val="0"/>
          <w:numId w:val="0"/>
        </w:numPr>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A.2.1管理</w:t>
      </w:r>
    </w:p>
    <w:p>
      <w:pPr>
        <w:numPr>
          <w:ilvl w:val="0"/>
          <w:numId w:val="0"/>
        </w:numPr>
        <w:ind w:firstLine="0" w:firstLineChars="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A.2.1.1</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使用单位应当制定氧疗舱操作规程，内容至少包括操作程序、操作要求</w:t>
      </w:r>
      <w:r>
        <w:rPr>
          <w:rFonts w:hint="eastAsia" w:eastAsia="宋体" w:cs="Times New Roman"/>
          <w:b w:val="0"/>
          <w:bCs w:val="0"/>
          <w:color w:val="000000" w:themeColor="text1"/>
          <w:sz w:val="21"/>
          <w:szCs w:val="21"/>
          <w:lang w:val="en-US" w:eastAsia="zh-CN"/>
          <w14:textFill>
            <w14:solidFill>
              <w14:schemeClr w14:val="tx1"/>
            </w14:solidFill>
          </w14:textFill>
        </w:rPr>
        <w:t>、日常维护、注意事项</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以及异常情况的处理等</w:t>
      </w:r>
      <w:r>
        <w:rPr>
          <w:rFonts w:hint="eastAsia" w:eastAsia="宋体" w:cs="Times New Roman"/>
          <w:b w:val="0"/>
          <w:bCs w:val="0"/>
          <w:color w:val="000000" w:themeColor="text1"/>
          <w:sz w:val="21"/>
          <w:szCs w:val="21"/>
          <w:lang w:val="en-US" w:eastAsia="zh-CN"/>
          <w14:textFill>
            <w14:solidFill>
              <w14:schemeClr w14:val="tx1"/>
            </w14:solidFill>
          </w14:textFill>
        </w:rPr>
        <w:t>。</w:t>
      </w:r>
    </w:p>
    <w:p>
      <w:pPr>
        <w:numPr>
          <w:ilvl w:val="0"/>
          <w:numId w:val="0"/>
        </w:numPr>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A.2.1.2使用单位应当制定氧疗舱专项</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事故应急预案</w:t>
      </w:r>
      <w:r>
        <w:rPr>
          <w:rFonts w:hint="eastAsia" w:eastAsia="宋体" w:cs="Times New Roman"/>
          <w:b w:val="0"/>
          <w:bCs w:val="0"/>
          <w:color w:val="000000" w:themeColor="text1"/>
          <w:sz w:val="21"/>
          <w:szCs w:val="21"/>
          <w:lang w:val="en-US" w:eastAsia="zh-CN"/>
          <w14:textFill>
            <w14:solidFill>
              <w14:schemeClr w14:val="tx1"/>
            </w14:solidFill>
          </w14:textFill>
        </w:rPr>
        <w:t>。</w:t>
      </w:r>
    </w:p>
    <w:p>
      <w:pPr>
        <w:numPr>
          <w:ilvl w:val="0"/>
          <w:numId w:val="0"/>
        </w:numPr>
        <w:ind w:firstLine="0" w:firstLineChars="0"/>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 xml:space="preserve">A.2.1.3 </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对氧疗舱的管理、操作人员进行必要的安全教育和业务培训</w:t>
      </w:r>
      <w:r>
        <w:rPr>
          <w:rFonts w:hint="eastAsia" w:eastAsia="宋体" w:cs="Times New Roman"/>
          <w:b w:val="0"/>
          <w:bCs w:val="0"/>
          <w:color w:val="000000" w:themeColor="text1"/>
          <w:sz w:val="21"/>
          <w:szCs w:val="21"/>
          <w:lang w:val="en-US" w:eastAsia="zh-CN"/>
          <w14:textFill>
            <w14:solidFill>
              <w14:schemeClr w14:val="tx1"/>
            </w14:solidFill>
          </w14:textFill>
        </w:rPr>
        <w:t>。</w:t>
      </w:r>
    </w:p>
    <w:p>
      <w:pPr>
        <w:numPr>
          <w:ilvl w:val="0"/>
          <w:numId w:val="0"/>
        </w:numPr>
        <w:ind w:firstLine="0" w:firstLineChars="0"/>
        <w:rPr>
          <w:rFonts w:hint="default"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A.2.1.4氧疗舱在</w:t>
      </w:r>
      <w:r>
        <w:rPr>
          <w:rFonts w:hint="eastAsia" w:ascii="Calibri" w:hAnsi="Calibri" w:eastAsia="宋体" w:cs="Times New Roman"/>
          <w:color w:val="000000" w:themeColor="text1"/>
          <w:sz w:val="21"/>
          <w:szCs w:val="21"/>
          <w:lang w:val="en-US" w:eastAsia="zh-CN"/>
          <w14:textFill>
            <w14:solidFill>
              <w14:schemeClr w14:val="tx1"/>
            </w14:solidFill>
          </w14:textFill>
        </w:rPr>
        <w:t>使用期间必须有人值守</w:t>
      </w:r>
      <w:r>
        <w:rPr>
          <w:rFonts w:hint="eastAsia" w:eastAsia="宋体" w:cs="Times New Roman"/>
          <w:color w:val="000000" w:themeColor="text1"/>
          <w:sz w:val="21"/>
          <w:szCs w:val="21"/>
          <w:lang w:val="en-US" w:eastAsia="zh-CN"/>
          <w14:textFill>
            <w14:solidFill>
              <w14:schemeClr w14:val="tx1"/>
            </w14:solidFill>
          </w14:textFill>
        </w:rPr>
        <w:t>，但要</w:t>
      </w:r>
      <w:r>
        <w:rPr>
          <w:rFonts w:hint="eastAsia" w:ascii="Calibri" w:hAnsi="Calibri" w:eastAsia="宋体" w:cs="Times New Roman"/>
          <w:color w:val="000000" w:themeColor="text1"/>
          <w:sz w:val="21"/>
          <w:szCs w:val="21"/>
          <w:lang w:val="en-US" w:eastAsia="zh-CN"/>
          <w14:textFill>
            <w14:solidFill>
              <w14:schemeClr w14:val="tx1"/>
            </w14:solidFill>
          </w14:textFill>
        </w:rPr>
        <w:t>避免人员长期驻守在舱边。</w:t>
      </w:r>
    </w:p>
    <w:p>
      <w:pPr>
        <w:numPr>
          <w:ilvl w:val="0"/>
          <w:numId w:val="0"/>
        </w:numPr>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A.2.2 使用对象</w:t>
      </w:r>
    </w:p>
    <w:p>
      <w:pPr>
        <w:numPr>
          <w:ilvl w:val="0"/>
          <w:numId w:val="0"/>
        </w:numPr>
        <w:ind w:firstLine="0" w:firstLineChars="0"/>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A.2.2.1对病患动物状态进行评估，视情况进行必要的保定措施。</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A.2.2.2 进入氧</w:t>
      </w:r>
      <w:r>
        <w:rPr>
          <w:rFonts w:hint="eastAsia" w:cs="Times New Roman"/>
          <w:color w:val="000000" w:themeColor="text1"/>
          <w:sz w:val="21"/>
          <w:szCs w:val="21"/>
          <w:lang w:val="en-US" w:eastAsia="zh-CN"/>
          <w14:textFill>
            <w14:solidFill>
              <w14:schemeClr w14:val="tx1"/>
            </w14:solidFill>
          </w14:textFill>
        </w:rPr>
        <w:t>疗</w:t>
      </w:r>
      <w:r>
        <w:rPr>
          <w:rFonts w:hint="eastAsia" w:eastAsia="宋体" w:cs="Times New Roman"/>
          <w:color w:val="000000" w:themeColor="text1"/>
          <w:sz w:val="21"/>
          <w:szCs w:val="21"/>
          <w:lang w:val="en-US" w:eastAsia="zh-CN"/>
          <w14:textFill>
            <w14:solidFill>
              <w14:schemeClr w14:val="tx1"/>
            </w14:solidFill>
          </w14:textFill>
        </w:rPr>
        <w:t>舱前，应对动物毛发进行防止静电的加湿处理。</w:t>
      </w:r>
    </w:p>
    <w:p>
      <w:pPr>
        <w:numPr>
          <w:ilvl w:val="0"/>
          <w:numId w:val="0"/>
        </w:numPr>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A.2.3 安装、使用</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A.2.3.1 氧疗舱应</w:t>
      </w:r>
      <w:r>
        <w:rPr>
          <w:rFonts w:hint="eastAsia" w:ascii="Calibri" w:hAnsi="Calibri" w:eastAsia="宋体" w:cs="Times New Roman"/>
          <w:color w:val="000000" w:themeColor="text1"/>
          <w:sz w:val="21"/>
          <w:szCs w:val="21"/>
          <w:lang w:val="en-US" w:eastAsia="zh-CN"/>
          <w14:textFill>
            <w14:solidFill>
              <w14:schemeClr w14:val="tx1"/>
            </w14:solidFill>
          </w14:textFill>
        </w:rPr>
        <w:t>放置在人员稀少的位置</w:t>
      </w:r>
      <w:r>
        <w:rPr>
          <w:rFonts w:hint="eastAsia" w:eastAsia="宋体" w:cs="Times New Roman"/>
          <w:color w:val="000000" w:themeColor="text1"/>
          <w:sz w:val="21"/>
          <w:szCs w:val="21"/>
          <w:lang w:val="en-US" w:eastAsia="zh-CN"/>
          <w14:textFill>
            <w14:solidFill>
              <w14:schemeClr w14:val="tx1"/>
            </w14:solidFill>
          </w14:textFill>
        </w:rPr>
        <w:t>或独立房间中。</w:t>
      </w:r>
    </w:p>
    <w:p>
      <w:pPr>
        <w:numPr>
          <w:ilvl w:val="0"/>
          <w:numId w:val="0"/>
        </w:numPr>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 xml:space="preserve">A.2.3.2 </w:t>
      </w:r>
      <w:r>
        <w:rPr>
          <w:rFonts w:hint="eastAsia" w:ascii="Calibri" w:hAnsi="Calibri" w:eastAsia="宋体" w:cs="Times New Roman"/>
          <w:color w:val="000000" w:themeColor="text1"/>
          <w:sz w:val="21"/>
          <w:szCs w:val="21"/>
          <w:lang w:val="en-US" w:eastAsia="zh-CN"/>
          <w14:textFill>
            <w14:solidFill>
              <w14:schemeClr w14:val="tx1"/>
            </w14:solidFill>
          </w14:textFill>
        </w:rPr>
        <w:t>舱体避免放在阳光直射的地方，阳光照射会影响舱体寿命，如果房间有紫外照射，应把舱体遮盖，避免长时间紫外直接照射舱体。</w:t>
      </w:r>
    </w:p>
    <w:p>
      <w:pPr>
        <w:numPr>
          <w:ilvl w:val="0"/>
          <w:numId w:val="0"/>
        </w:numPr>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 xml:space="preserve">A.2.3.3 </w:t>
      </w:r>
      <w:r>
        <w:rPr>
          <w:rFonts w:hint="eastAsia" w:ascii="Calibri" w:hAnsi="Calibri" w:eastAsia="宋体" w:cs="Times New Roman"/>
          <w:color w:val="000000" w:themeColor="text1"/>
          <w:sz w:val="21"/>
          <w:szCs w:val="21"/>
          <w:lang w:val="en-US" w:eastAsia="zh-CN"/>
          <w14:textFill>
            <w14:solidFill>
              <w14:schemeClr w14:val="tx1"/>
            </w14:solidFill>
          </w14:textFill>
        </w:rPr>
        <w:t>舱内以及周边严禁放置火种、易燃易爆物品、香烟、打火机、手机、电子产品等、舱内严禁放置和穿着易起静电的化纤材质纺织物。</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A.2.3.4</w:t>
      </w:r>
      <w:r>
        <w:rPr>
          <w:rFonts w:hint="eastAsia" w:ascii="Calibri" w:hAnsi="Calibri" w:eastAsia="宋体" w:cs="Times New Roman"/>
          <w:color w:val="000000" w:themeColor="text1"/>
          <w:sz w:val="21"/>
          <w:szCs w:val="21"/>
          <w:lang w:val="en-US" w:eastAsia="zh-CN"/>
          <w14:textFill>
            <w14:solidFill>
              <w14:schemeClr w14:val="tx1"/>
            </w14:solidFill>
          </w14:textFill>
        </w:rPr>
        <w:t>使用前，请检查舱体是否有裂纹，舱门快速锁扣是否有不牢固现象，关舱治疗前，舱门和快速锁扣是否关严</w:t>
      </w:r>
      <w:r>
        <w:rPr>
          <w:rFonts w:hint="eastAsia" w:eastAsia="宋体" w:cs="Times New Roman"/>
          <w:color w:val="000000" w:themeColor="text1"/>
          <w:sz w:val="21"/>
          <w:szCs w:val="21"/>
          <w:lang w:val="en-US" w:eastAsia="zh-CN"/>
          <w14:textFill>
            <w14:solidFill>
              <w14:schemeClr w14:val="tx1"/>
            </w14:solidFill>
          </w14:textFill>
        </w:rPr>
        <w:t>。</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A.2.3.5</w:t>
      </w:r>
      <w:r>
        <w:rPr>
          <w:rFonts w:hint="eastAsia" w:ascii="Calibri" w:hAnsi="Calibri" w:eastAsia="宋体" w:cs="Times New Roman"/>
          <w:color w:val="000000" w:themeColor="text1"/>
          <w:sz w:val="21"/>
          <w:szCs w:val="21"/>
          <w:lang w:val="en-US" w:eastAsia="zh-CN"/>
          <w14:textFill>
            <w14:solidFill>
              <w14:schemeClr w14:val="tx1"/>
            </w14:solidFill>
          </w14:textFill>
        </w:rPr>
        <w:t>舱内治疗期间，请勿随意触碰或松动舱门上手拧螺丝和快速锁扣，严禁打开舱门（如遇到紧急情况，需要紧急停机</w:t>
      </w:r>
      <w:r>
        <w:rPr>
          <w:rFonts w:hint="eastAsia" w:cs="Times New Roman"/>
          <w:color w:val="000000" w:themeColor="text1"/>
          <w:sz w:val="21"/>
          <w:szCs w:val="21"/>
          <w:lang w:val="en-US" w:eastAsia="zh-CN"/>
          <w14:textFill>
            <w14:solidFill>
              <w14:schemeClr w14:val="tx1"/>
            </w14:solidFill>
          </w14:textFill>
        </w:rPr>
        <w:t>并</w:t>
      </w:r>
      <w:r>
        <w:rPr>
          <w:rFonts w:hint="eastAsia" w:ascii="Calibri" w:hAnsi="Calibri" w:eastAsia="宋体" w:cs="Times New Roman"/>
          <w:color w:val="000000" w:themeColor="text1"/>
          <w:sz w:val="21"/>
          <w:szCs w:val="21"/>
          <w:lang w:val="en-US" w:eastAsia="zh-CN"/>
          <w14:textFill>
            <w14:solidFill>
              <w14:schemeClr w14:val="tx1"/>
            </w14:solidFill>
          </w14:textFill>
        </w:rPr>
        <w:t>快速泄压后才可打开舱门）</w:t>
      </w:r>
      <w:r>
        <w:rPr>
          <w:rFonts w:hint="eastAsia" w:eastAsia="宋体" w:cs="Times New Roman"/>
          <w:color w:val="000000" w:themeColor="text1"/>
          <w:sz w:val="21"/>
          <w:szCs w:val="21"/>
          <w:lang w:val="en-US" w:eastAsia="zh-CN"/>
          <w14:textFill>
            <w14:solidFill>
              <w14:schemeClr w14:val="tx1"/>
            </w14:solidFill>
          </w14:textFill>
        </w:rPr>
        <w:t>。</w:t>
      </w:r>
    </w:p>
    <w:p>
      <w:pPr>
        <w:numPr>
          <w:ilvl w:val="0"/>
          <w:numId w:val="0"/>
        </w:numPr>
        <w:rPr>
          <w:rFonts w:hint="default"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A.2.3.6</w:t>
      </w:r>
      <w:r>
        <w:rPr>
          <w:rFonts w:hint="eastAsia" w:ascii="Calibri" w:hAnsi="Calibri" w:eastAsia="宋体" w:cs="Times New Roman"/>
          <w:color w:val="000000" w:themeColor="text1"/>
          <w:sz w:val="21"/>
          <w:szCs w:val="21"/>
          <w:lang w:val="en-US" w:eastAsia="zh-CN"/>
          <w14:textFill>
            <w14:solidFill>
              <w14:schemeClr w14:val="tx1"/>
            </w14:solidFill>
          </w14:textFill>
        </w:rPr>
        <w:t>治疗结束待舱</w:t>
      </w:r>
      <w:r>
        <w:rPr>
          <w:rFonts w:hint="eastAsia" w:eastAsia="宋体" w:cs="Times New Roman"/>
          <w:color w:val="000000" w:themeColor="text1"/>
          <w:sz w:val="21"/>
          <w:szCs w:val="21"/>
          <w:lang w:val="en-US" w:eastAsia="zh-CN"/>
          <w14:textFill>
            <w14:solidFill>
              <w14:schemeClr w14:val="tx1"/>
            </w14:solidFill>
          </w14:textFill>
        </w:rPr>
        <w:t>内</w:t>
      </w:r>
      <w:r>
        <w:rPr>
          <w:rFonts w:hint="eastAsia" w:ascii="Calibri" w:hAnsi="Calibri" w:eastAsia="宋体" w:cs="Times New Roman"/>
          <w:color w:val="000000" w:themeColor="text1"/>
          <w:sz w:val="21"/>
          <w:szCs w:val="21"/>
          <w:lang w:val="en-US" w:eastAsia="zh-CN"/>
          <w14:textFill>
            <w14:solidFill>
              <w14:schemeClr w14:val="tx1"/>
            </w14:solidFill>
          </w14:textFill>
        </w:rPr>
        <w:t>压力降至0KPa时，打开舱门取出动物。</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A.2.4维护保养</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A.2.4.1按照</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说明书的维护要求，检查氧疗舱使用情况。进行清洁</w:t>
      </w:r>
      <w:r>
        <w:rPr>
          <w:rFonts w:hint="eastAsia" w:eastAsia="宋体" w:cs="Times New Roman"/>
          <w:b w:val="0"/>
          <w:bCs w:val="0"/>
          <w:color w:val="000000" w:themeColor="text1"/>
          <w:sz w:val="21"/>
          <w:szCs w:val="21"/>
          <w:lang w:val="en-US" w:eastAsia="zh-CN"/>
          <w14:textFill>
            <w14:solidFill>
              <w14:schemeClr w14:val="tx1"/>
            </w14:solidFill>
          </w14:textFill>
        </w:rPr>
        <w:t>。</w:t>
      </w:r>
    </w:p>
    <w:p>
      <w:pPr>
        <w:numPr>
          <w:ilvl w:val="0"/>
          <w:numId w:val="0"/>
        </w:numPr>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A.2.4.2</w:t>
      </w:r>
      <w:r>
        <w:rPr>
          <w:rFonts w:hint="eastAsia" w:ascii="Calibri" w:hAnsi="Calibri" w:eastAsia="宋体" w:cs="Times New Roman"/>
          <w:color w:val="000000" w:themeColor="text1"/>
          <w:sz w:val="21"/>
          <w:szCs w:val="21"/>
          <w:lang w:val="en-US" w:eastAsia="zh-CN"/>
          <w14:textFill>
            <w14:solidFill>
              <w14:schemeClr w14:val="tx1"/>
            </w14:solidFill>
          </w14:textFill>
        </w:rPr>
        <w:t>严禁酒精，强酸强碱性物质日常消杀，以免对舱体造成损坏</w:t>
      </w:r>
      <w:r>
        <w:rPr>
          <w:rFonts w:hint="eastAsia" w:eastAsia="宋体" w:cs="Times New Roman"/>
          <w:color w:val="000000" w:themeColor="text1"/>
          <w:sz w:val="21"/>
          <w:szCs w:val="21"/>
          <w:lang w:val="en-US" w:eastAsia="zh-CN"/>
          <w14:textFill>
            <w14:solidFill>
              <w14:schemeClr w14:val="tx1"/>
            </w14:solidFill>
          </w14:textFill>
        </w:rPr>
        <w:t>。</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A.2.4.3</w:t>
      </w:r>
      <w:r>
        <w:rPr>
          <w:rFonts w:hint="eastAsia" w:ascii="Calibri" w:hAnsi="Calibri" w:eastAsia="宋体" w:cs="Times New Roman"/>
          <w:color w:val="000000" w:themeColor="text1"/>
          <w:sz w:val="21"/>
          <w:szCs w:val="21"/>
          <w:lang w:val="en-US" w:eastAsia="zh-CN"/>
          <w14:textFill>
            <w14:solidFill>
              <w14:schemeClr w14:val="tx1"/>
            </w14:solidFill>
          </w14:textFill>
        </w:rPr>
        <w:t>产品不使用和保养时请拔下电源插头，以防触电</w:t>
      </w:r>
      <w:r>
        <w:rPr>
          <w:rFonts w:hint="eastAsia" w:eastAsia="宋体" w:cs="Times New Roman"/>
          <w:color w:val="000000" w:themeColor="text1"/>
          <w:sz w:val="21"/>
          <w:szCs w:val="21"/>
          <w:lang w:val="en-US" w:eastAsia="zh-CN"/>
          <w14:textFill>
            <w14:solidFill>
              <w14:schemeClr w14:val="tx1"/>
            </w14:solidFill>
          </w14:textFill>
        </w:rPr>
        <w:t>。</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A.2.4.4</w:t>
      </w:r>
      <w:r>
        <w:rPr>
          <w:rFonts w:hint="eastAsia" w:ascii="Calibri" w:hAnsi="Calibri" w:eastAsia="宋体" w:cs="Times New Roman"/>
          <w:color w:val="000000" w:themeColor="text1"/>
          <w:sz w:val="21"/>
          <w:szCs w:val="21"/>
          <w:lang w:val="en-US" w:eastAsia="zh-CN"/>
          <w14:textFill>
            <w14:solidFill>
              <w14:schemeClr w14:val="tx1"/>
            </w14:solidFill>
          </w14:textFill>
        </w:rPr>
        <w:t>透明舱体有效使用年限5-6年，如发现舱体有明显的发黄、透光性差等老化现象，应及时更换。</w:t>
      </w:r>
    </w:p>
    <w:p>
      <w:pPr>
        <w:numPr>
          <w:ilvl w:val="0"/>
          <w:numId w:val="0"/>
        </w:numPr>
        <w:rPr>
          <w:rFonts w:hint="eastAsia" w:ascii="Calibri" w:hAnsi="Calibri" w:eastAsia="宋体" w:cs="Times New Roman"/>
          <w:b/>
          <w:bCs/>
          <w:color w:val="000000" w:themeColor="text1"/>
          <w:sz w:val="21"/>
          <w:szCs w:val="21"/>
          <w:lang w:val="en-US" w:eastAsia="zh-CN"/>
          <w14:textFill>
            <w14:solidFill>
              <w14:schemeClr w14:val="tx1"/>
            </w14:solidFill>
          </w14:textFill>
        </w:rPr>
      </w:pPr>
      <w:r>
        <w:rPr>
          <w:rFonts w:hint="eastAsia" w:eastAsia="宋体" w:cs="Times New Roman"/>
          <w:b/>
          <w:bCs/>
          <w:color w:val="000000" w:themeColor="text1"/>
          <w:sz w:val="21"/>
          <w:szCs w:val="21"/>
          <w:lang w:val="en-US" w:eastAsia="zh-CN"/>
          <w14:textFill>
            <w14:solidFill>
              <w14:schemeClr w14:val="tx1"/>
            </w14:solidFill>
          </w14:textFill>
        </w:rPr>
        <w:t>A.3</w:t>
      </w:r>
      <w:r>
        <w:rPr>
          <w:rFonts w:hint="eastAsia" w:ascii="Calibri" w:hAnsi="Calibri" w:eastAsia="宋体" w:cs="Times New Roman"/>
          <w:b/>
          <w:bCs/>
          <w:color w:val="000000" w:themeColor="text1"/>
          <w:sz w:val="21"/>
          <w:szCs w:val="21"/>
          <w:lang w:val="en-US" w:eastAsia="zh-CN"/>
          <w14:textFill>
            <w14:solidFill>
              <w14:schemeClr w14:val="tx1"/>
            </w14:solidFill>
          </w14:textFill>
        </w:rPr>
        <w:t>异常情况及应急处理</w:t>
      </w:r>
    </w:p>
    <w:p>
      <w:pPr>
        <w:numPr>
          <w:ilvl w:val="0"/>
          <w:numId w:val="0"/>
        </w:numPr>
        <w:rPr>
          <w:rFonts w:hint="eastAsia" w:ascii="Calibri" w:hAnsi="Calibri"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A.3.1</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使用单位按照事故应急预案，并且每年至少组织一次事故应急演练。</w:t>
      </w:r>
    </w:p>
    <w:p>
      <w:pPr>
        <w:numPr>
          <w:ilvl w:val="0"/>
          <w:numId w:val="0"/>
        </w:numPr>
        <w:ind w:firstLine="0" w:firstLineChars="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A.3.2</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使用单位在发生下列之一的异常情况、隐患时，氧疗舱操作和维护保养人员应当及</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时采取应急措施进行处理和消除隐患：</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a</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)舱体以及配套压力容器和管道等受压元(部)件出现泄漏、裂纹、变形、异常</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响声等缺陷；</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b</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)有机玻璃材料受压元(部)件出现大量银纹、老化等缺陷；</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c</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)压力调节系统的压力超过规定值，采取适当措施仍不能有效控制以及压力测</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量、显示、记录装置不能正常工作；</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d</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)电气系统、舱内环境调节系统的装置、仪器等不能正常工作；温度出现异常</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或者有烟雾、异味产生；保险装置断开(熔断)；运行参数测定、显示、记录等装置不</w:t>
      </w:r>
    </w:p>
    <w:p>
      <w:pPr>
        <w:numPr>
          <w:ilvl w:val="0"/>
          <w:numId w:val="0"/>
        </w:numPr>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能正常工作；</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e</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)安全附件与安全保护装置及仪表失灵、损坏、超出有效期；呼吸气体浓度测</w:t>
      </w:r>
    </w:p>
    <w:p>
      <w:pPr>
        <w:numPr>
          <w:ilvl w:val="0"/>
          <w:numId w:val="0"/>
        </w:numPr>
        <w:ind w:firstLine="0" w:firstLineChars="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定装置不能正常工作或者传感器失效、损坏；静电接地装置损坏；</w:t>
      </w:r>
    </w:p>
    <w:p>
      <w:pPr>
        <w:numPr>
          <w:ilvl w:val="0"/>
          <w:numId w:val="0"/>
        </w:numPr>
        <w:ind w:firstLine="420" w:firstLineChars="200"/>
        <w:rPr>
          <w:rFonts w:hint="eastAsia" w:ascii="Calibri" w:hAnsi="Calibri" w:eastAsia="宋体" w:cs="Times New Roman"/>
          <w:b w:val="0"/>
          <w:bCs w:val="0"/>
          <w:color w:val="000000" w:themeColor="text1"/>
          <w:sz w:val="21"/>
          <w:szCs w:val="21"/>
          <w:lang w:val="en-US" w:eastAsia="zh-CN"/>
          <w14:textFill>
            <w14:solidFill>
              <w14:schemeClr w14:val="tx1"/>
            </w14:solidFill>
          </w14:textFill>
        </w:rPr>
      </w:pPr>
      <w:r>
        <w:rPr>
          <w:rFonts w:hint="default" w:cs="Times New Roman"/>
          <w:b w:val="0"/>
          <w:bCs w:val="0"/>
          <w:color w:val="000000" w:themeColor="text1"/>
          <w:sz w:val="21"/>
          <w:szCs w:val="21"/>
          <w:lang w:val="en" w:eastAsia="zh-CN"/>
          <w14:textFill>
            <w14:solidFill>
              <w14:schemeClr w14:val="tx1"/>
            </w14:solidFill>
          </w14:textFill>
        </w:rPr>
        <w:t>f</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）其他异常隐患。</w:t>
      </w:r>
    </w:p>
    <w:p>
      <w:pPr>
        <w:numPr>
          <w:ilvl w:val="0"/>
          <w:numId w:val="0"/>
        </w:numPr>
        <w:rPr>
          <w:rFonts w:hint="eastAsia" w:eastAsia="宋体" w:cs="Times New Roman"/>
          <w:color w:val="000000" w:themeColor="text1"/>
          <w:sz w:val="21"/>
          <w:szCs w:val="21"/>
          <w:lang w:val="en-US" w:eastAsia="zh-CN"/>
          <w14:textFill>
            <w14:solidFill>
              <w14:schemeClr w14:val="tx1"/>
            </w14:solidFill>
          </w14:textFill>
        </w:rPr>
      </w:pPr>
      <w:r>
        <w:rPr>
          <w:rFonts w:hint="eastAsia" w:eastAsia="宋体" w:cs="Times New Roman"/>
          <w:color w:val="000000" w:themeColor="text1"/>
          <w:sz w:val="21"/>
          <w:szCs w:val="21"/>
          <w:lang w:val="en-US" w:eastAsia="zh-CN"/>
          <w14:textFill>
            <w14:solidFill>
              <w14:schemeClr w14:val="tx1"/>
            </w14:solidFill>
          </w14:textFill>
        </w:rPr>
        <w:t>A.3.3</w:t>
      </w:r>
      <w:r>
        <w:rPr>
          <w:rFonts w:hint="eastAsia" w:ascii="Calibri" w:hAnsi="Calibri" w:eastAsia="宋体" w:cs="Times New Roman"/>
          <w:b w:val="0"/>
          <w:bCs w:val="0"/>
          <w:color w:val="000000" w:themeColor="text1"/>
          <w:sz w:val="21"/>
          <w:szCs w:val="21"/>
          <w:lang w:val="en-US" w:eastAsia="zh-CN"/>
          <w14:textFill>
            <w14:solidFill>
              <w14:schemeClr w14:val="tx1"/>
            </w14:solidFill>
          </w14:textFill>
        </w:rPr>
        <w:t>更换易损零部件、修复和排除故障等操作，应由专业技术人员进行。</w:t>
      </w:r>
    </w:p>
    <w:p>
      <w:pPr>
        <w:rPr>
          <w:color w:val="000000" w:themeColor="text1"/>
          <w:szCs w:val="21"/>
          <w14:textFill>
            <w14:solidFill>
              <w14:schemeClr w14:val="tx1"/>
            </w14:solidFill>
          </w14:textFill>
        </w:rPr>
      </w:pPr>
    </w:p>
    <w:p>
      <w:pPr>
        <w:numPr>
          <w:ilvl w:val="0"/>
          <w:numId w:val="0"/>
        </w:numPr>
        <w:rPr>
          <w:rFonts w:hint="eastAsia" w:ascii="Calibri" w:hAnsi="Calibri" w:eastAsia="宋体" w:cs="Times New Roman"/>
          <w:b/>
          <w:bCs/>
          <w:color w:val="000000" w:themeColor="text1"/>
          <w:sz w:val="21"/>
          <w:szCs w:val="21"/>
          <w:lang w:val="en-US" w:eastAsia="zh-CN"/>
          <w14:textFill>
            <w14:solidFill>
              <w14:schemeClr w14:val="tx1"/>
            </w14:solidFill>
          </w14:textFill>
        </w:rPr>
      </w:pPr>
      <w:r>
        <w:rPr>
          <w:rFonts w:hint="eastAsia" w:ascii="Calibri" w:hAnsi="Calibri" w:eastAsia="宋体" w:cs="Times New Roman"/>
          <w:b/>
          <w:bCs/>
          <w:color w:val="000000" w:themeColor="text1"/>
          <w:sz w:val="21"/>
          <w:szCs w:val="21"/>
          <w:lang w:val="en-US" w:eastAsia="zh-CN"/>
          <w14:textFill>
            <w14:solidFill>
              <w14:schemeClr w14:val="tx1"/>
            </w14:solidFill>
          </w14:textFill>
        </w:rPr>
        <w:t>A.4部分禁忌症</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有以下疾病的动物不能使用</w:t>
      </w:r>
      <w:r>
        <w:rPr>
          <w:rFonts w:hint="eastAsia" w:eastAsia="宋体" w:cs="Times New Roman"/>
          <w:color w:val="000000" w:themeColor="text1"/>
          <w:kern w:val="2"/>
          <w:sz w:val="21"/>
          <w:szCs w:val="21"/>
          <w:lang w:val="en-US" w:eastAsia="zh-CN" w:bidi="ar"/>
          <w14:textFill>
            <w14:solidFill>
              <w14:schemeClr w14:val="tx1"/>
            </w14:solidFill>
          </w14:textFill>
        </w:rPr>
        <w:t>氧疗舱</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eastAsia="宋体"/>
          <w:color w:val="000000" w:themeColor="text1"/>
          <w:szCs w:val="21"/>
          <w:lang w:eastAsia="zh-CN"/>
          <w14:textFill>
            <w14:solidFill>
              <w14:schemeClr w14:val="tx1"/>
            </w14:solidFill>
          </w14:textFill>
        </w:rPr>
      </w:pPr>
      <w:r>
        <w:rPr>
          <w:rFonts w:hint="eastAsia" w:ascii="Calibri" w:hAnsi="Calibri" w:eastAsia="宋体" w:cs="Times New Roman"/>
          <w:color w:val="000000" w:themeColor="text1"/>
          <w:sz w:val="21"/>
          <w:szCs w:val="21"/>
          <w:lang w:val="en-US" w:eastAsia="zh-CN"/>
          <w14:textFill>
            <w14:solidFill>
              <w14:schemeClr w14:val="tx1"/>
            </w14:solidFill>
          </w14:textFill>
        </w:rPr>
        <w:t>A.4.1</w:t>
      </w:r>
      <w:r>
        <w:rPr>
          <w:rFonts w:hint="eastAsia" w:cs="Times New Roman"/>
          <w:color w:val="000000" w:themeColor="text1"/>
          <w:sz w:val="2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肺动脉高压引起肺水肿（LA/Ao大于正常比）</w:t>
      </w:r>
      <w:r>
        <w:rPr>
          <w:rFonts w:hint="eastAsia"/>
          <w:color w:val="000000" w:themeColor="text1"/>
          <w:szCs w:val="21"/>
          <w:lang w:eastAsia="zh-CN"/>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A.4.2</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内出血，血栓严重</w:t>
      </w:r>
      <w:r>
        <w:rPr>
          <w:rFonts w:hint="eastAsia"/>
          <w:color w:val="000000" w:themeColor="text1"/>
          <w:szCs w:val="21"/>
          <w:lang w:eastAsia="zh-CN"/>
          <w14:textFill>
            <w14:solidFill>
              <w14:schemeClr w14:val="tx1"/>
            </w14:solidFill>
          </w14:textFill>
        </w:rPr>
        <w:t>的</w:t>
      </w:r>
      <w:r>
        <w:rPr>
          <w:rFonts w:hint="eastAsia"/>
          <w:color w:val="000000" w:themeColor="text1"/>
          <w:szCs w:val="21"/>
          <w14:textFill>
            <w14:solidFill>
              <w14:schemeClr w14:val="tx1"/>
            </w14:solidFill>
          </w14:textFill>
        </w:rPr>
        <w:t>动物</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A.4.3</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胸腔损伤（气胸，纵横隔疝，肺塌陷）</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A.4.4</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怀孕母体（怀孕中后期）</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A.4.5</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未经治疗的肿瘤确诊动物</w:t>
      </w:r>
      <w:r>
        <w:rPr>
          <w:rFonts w:hint="eastAsia"/>
          <w:color w:val="000000" w:themeColor="text1"/>
          <w:szCs w:val="21"/>
          <w:lang w:eastAsia="zh-CN"/>
          <w14:textFill>
            <w14:solidFill>
              <w14:schemeClr w14:val="tx1"/>
            </w14:solidFill>
          </w14:textFill>
        </w:rPr>
        <w:t>；</w:t>
      </w:r>
    </w:p>
    <w:p>
      <w:pPr>
        <w:keepNext w:val="0"/>
        <w:keepLines w:val="0"/>
        <w:widowControl/>
        <w:numPr>
          <w:ilvl w:val="0"/>
          <w:numId w:val="0"/>
        </w:numPr>
        <w:suppressLineNumbers w:val="0"/>
        <w:spacing w:line="240" w:lineRule="auto"/>
        <w:jc w:val="left"/>
        <w:rPr>
          <w:rFonts w:hint="eastAsia" w:ascii="Calibri" w:hAnsi="Calibri" w:eastAsia="宋体"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A.4.6</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正在感染犬瘟热的动物</w:t>
      </w:r>
      <w:r>
        <w:rPr>
          <w:rFonts w:hint="eastAsia" w:ascii="Calibri" w:hAnsi="Calibri" w:eastAsia="宋体" w:cs="Times New Roman"/>
          <w:color w:val="000000" w:themeColor="text1"/>
          <w:kern w:val="2"/>
          <w:sz w:val="21"/>
          <w:szCs w:val="21"/>
          <w:lang w:val="en-US" w:eastAsia="zh-CN" w:bidi="ar"/>
          <w14:textFill>
            <w14:solidFill>
              <w14:schemeClr w14:val="tx1"/>
            </w14:solidFill>
          </w14:textFill>
        </w:rPr>
        <w:t>；</w:t>
      </w:r>
    </w:p>
    <w:p>
      <w:pPr>
        <w:numPr>
          <w:ilvl w:val="0"/>
          <w:numId w:val="0"/>
        </w:numPr>
        <w:rPr>
          <w:rFonts w:hint="eastAsia" w:cs="Times New Roman"/>
          <w:color w:val="000000" w:themeColor="text1"/>
          <w:kern w:val="2"/>
          <w:sz w:val="21"/>
          <w:szCs w:val="21"/>
          <w:lang w:val="en-US" w:eastAsia="zh-CN" w:bidi="ar"/>
          <w14:textFill>
            <w14:solidFill>
              <w14:schemeClr w14:val="tx1"/>
            </w14:solidFill>
          </w14:textFill>
        </w:rPr>
      </w:pPr>
      <w:r>
        <w:rPr>
          <w:rFonts w:hint="eastAsia" w:ascii="Calibri" w:hAnsi="Calibri" w:eastAsia="宋体" w:cs="Times New Roman"/>
          <w:b w:val="0"/>
          <w:bCs w:val="0"/>
          <w:color w:val="000000" w:themeColor="text1"/>
          <w:kern w:val="2"/>
          <w:sz w:val="21"/>
          <w:szCs w:val="21"/>
          <w:lang w:val="en-US" w:eastAsia="zh-CN" w:bidi="ar"/>
          <w14:textFill>
            <w14:solidFill>
              <w14:schemeClr w14:val="tx1"/>
            </w14:solidFill>
          </w14:textFill>
        </w:rPr>
        <w:t>A.4.7</w:t>
      </w:r>
      <w:r>
        <w:rPr>
          <w:rFonts w:hint="eastAsia" w:cs="Times New Roman"/>
          <w:b w:val="0"/>
          <w:bCs w:val="0"/>
          <w:color w:val="000000" w:themeColor="text1"/>
          <w:kern w:val="2"/>
          <w:sz w:val="21"/>
          <w:szCs w:val="21"/>
          <w:lang w:val="en-US" w:eastAsia="zh-CN" w:bidi="ar"/>
          <w14:textFill>
            <w14:solidFill>
              <w14:schemeClr w14:val="tx1"/>
            </w14:solidFill>
          </w14:textFill>
        </w:rPr>
        <w:t xml:space="preserve"> </w:t>
      </w:r>
      <w:r>
        <w:rPr>
          <w:rFonts w:hint="eastAsia"/>
          <w:color w:val="000000" w:themeColor="text1"/>
          <w:szCs w:val="21"/>
          <w14:textFill>
            <w14:solidFill>
              <w14:schemeClr w14:val="tx1"/>
            </w14:solidFill>
          </w14:textFill>
        </w:rPr>
        <w:t>发烧（体温高于39.5</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w:t>
      </w:r>
      <w:r>
        <w:rPr>
          <w:rFonts w:hint="eastAsia" w:cs="Times New Roman"/>
          <w:color w:val="000000" w:themeColor="text1"/>
          <w:kern w:val="2"/>
          <w:sz w:val="21"/>
          <w:szCs w:val="21"/>
          <w:lang w:val="en-US" w:eastAsia="zh-CN" w:bidi="ar"/>
          <w14:textFill>
            <w14:solidFill>
              <w14:schemeClr w14:val="tx1"/>
            </w14:solidFill>
          </w14:textFill>
        </w:rPr>
        <w:t>；</w:t>
      </w:r>
    </w:p>
    <w:p>
      <w:pPr>
        <w:numPr>
          <w:ilvl w:val="0"/>
          <w:numId w:val="0"/>
        </w:numPr>
        <w:rPr>
          <w:rFonts w:hint="default"/>
          <w:color w:val="000000" w:themeColor="text1"/>
          <w:szCs w:val="21"/>
          <w:lang w:val="en"/>
          <w14:textFill>
            <w14:solidFill>
              <w14:schemeClr w14:val="tx1"/>
            </w14:solidFill>
          </w14:textFill>
        </w:rPr>
      </w:pPr>
      <w:r>
        <w:rPr>
          <w:rFonts w:hint="default" w:cs="Times New Roman"/>
          <w:color w:val="000000" w:themeColor="text1"/>
          <w:kern w:val="2"/>
          <w:sz w:val="21"/>
          <w:szCs w:val="21"/>
          <w:lang w:val="en" w:eastAsia="zh-CN" w:bidi="ar"/>
          <w14:textFill>
            <w14:solidFill>
              <w14:schemeClr w14:val="tx1"/>
            </w14:solidFill>
          </w14:textFill>
        </w:rPr>
        <w:t>A.4.8</w:t>
      </w:r>
      <w:r>
        <w:rPr>
          <w:rFonts w:hint="eastAsia"/>
          <w:color w:val="000000" w:themeColor="text1"/>
          <w:szCs w:val="21"/>
          <w14:textFill>
            <w14:solidFill>
              <w14:schemeClr w14:val="tx1"/>
            </w14:solidFill>
          </w14:textFill>
        </w:rPr>
        <w:t>短吻有呼吸困难的动物</w:t>
      </w:r>
      <w:r>
        <w:rPr>
          <w:rFonts w:hint="default"/>
          <w:color w:val="000000" w:themeColor="text1"/>
          <w:szCs w:val="21"/>
          <w:lang w:val="en"/>
          <w14:textFill>
            <w14:solidFill>
              <w14:schemeClr w14:val="tx1"/>
            </w14:solidFill>
          </w14:textFill>
        </w:rPr>
        <w:t>;</w:t>
      </w:r>
    </w:p>
    <w:p>
      <w:pPr>
        <w:numPr>
          <w:ilvl w:val="0"/>
          <w:numId w:val="0"/>
        </w:numPr>
        <w:rPr>
          <w:rFonts w:hint="default"/>
          <w:color w:val="000000" w:themeColor="text1"/>
          <w:szCs w:val="21"/>
          <w:lang w:val="en"/>
          <w14:textFill>
            <w14:solidFill>
              <w14:schemeClr w14:val="tx1"/>
            </w14:solidFill>
          </w14:textFill>
        </w:rPr>
      </w:pPr>
      <w:r>
        <w:rPr>
          <w:rFonts w:hint="default" w:cs="Times New Roman"/>
          <w:color w:val="000000" w:themeColor="text1"/>
          <w:kern w:val="2"/>
          <w:sz w:val="21"/>
          <w:szCs w:val="21"/>
          <w:lang w:val="en" w:eastAsia="zh-CN" w:bidi="ar"/>
          <w14:textFill>
            <w14:solidFill>
              <w14:schemeClr w14:val="tx1"/>
            </w14:solidFill>
          </w14:textFill>
        </w:rPr>
        <w:t xml:space="preserve">A.4.9 </w:t>
      </w:r>
      <w:r>
        <w:rPr>
          <w:rFonts w:hint="eastAsia"/>
          <w:color w:val="000000" w:themeColor="text1"/>
          <w:szCs w:val="21"/>
          <w14:textFill>
            <w14:solidFill>
              <w14:schemeClr w14:val="tx1"/>
            </w14:solidFill>
          </w14:textFill>
        </w:rPr>
        <w:t>严重贫血</w:t>
      </w:r>
      <w:r>
        <w:rPr>
          <w:rFonts w:hint="default"/>
          <w:color w:val="000000" w:themeColor="text1"/>
          <w:szCs w:val="21"/>
          <w:lang w:val="en"/>
          <w14:textFill>
            <w14:solidFill>
              <w14:schemeClr w14:val="tx1"/>
            </w14:solidFill>
          </w14:textFill>
        </w:rPr>
        <w:t>;</w:t>
      </w:r>
    </w:p>
    <w:p>
      <w:pPr>
        <w:numPr>
          <w:ilvl w:val="0"/>
          <w:numId w:val="0"/>
        </w:numPr>
        <w:rPr>
          <w:rFonts w:hint="eastAsia" w:eastAsia="宋体"/>
          <w:color w:val="000000" w:themeColor="text1"/>
          <w:szCs w:val="21"/>
          <w:lang w:val="en-US" w:eastAsia="zh-CN"/>
          <w14:textFill>
            <w14:solidFill>
              <w14:schemeClr w14:val="tx1"/>
            </w14:solidFill>
          </w14:textFill>
        </w:rPr>
      </w:pPr>
      <w:r>
        <w:rPr>
          <w:rFonts w:hint="default" w:cs="Times New Roman"/>
          <w:color w:val="000000" w:themeColor="text1"/>
          <w:kern w:val="2"/>
          <w:sz w:val="21"/>
          <w:szCs w:val="21"/>
          <w:lang w:val="en" w:eastAsia="zh-CN" w:bidi="ar"/>
          <w14:textFill>
            <w14:solidFill>
              <w14:schemeClr w14:val="tx1"/>
            </w14:solidFill>
          </w14:textFill>
        </w:rPr>
        <w:t xml:space="preserve">A.4.10 </w:t>
      </w:r>
      <w:r>
        <w:rPr>
          <w:rFonts w:hint="eastAsia"/>
          <w:color w:val="000000" w:themeColor="text1"/>
          <w:szCs w:val="21"/>
          <w14:textFill>
            <w14:solidFill>
              <w14:schemeClr w14:val="tx1"/>
            </w14:solidFill>
          </w14:textFill>
        </w:rPr>
        <w:t>呼吸性碱中毒</w:t>
      </w:r>
      <w:r>
        <w:rPr>
          <w:rFonts w:hint="eastAsia"/>
          <w:color w:val="000000" w:themeColor="text1"/>
          <w:szCs w:val="21"/>
          <w:lang w:eastAsia="zh-CN"/>
          <w14:textFill>
            <w14:solidFill>
              <w14:schemeClr w14:val="tx1"/>
            </w14:solidFill>
          </w14:textFill>
        </w:rPr>
        <w:t>等。</w:t>
      </w:r>
    </w:p>
    <w:p>
      <w:pPr>
        <w:widowControl/>
        <w:spacing w:line="312" w:lineRule="auto"/>
        <w:jc w:val="left"/>
        <w:rPr>
          <w:color w:val="000000" w:themeColor="text1"/>
          <w:szCs w:val="21"/>
          <w14:textFill>
            <w14:solidFill>
              <w14:schemeClr w14:val="tx1"/>
            </w14:solidFill>
          </w14:textFill>
        </w:rPr>
      </w:pPr>
    </w:p>
    <w:sectPr>
      <w:head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libri Light">
    <w:altName w:val="DejaVu Sans"/>
    <w:panose1 w:val="020F0302020204030204"/>
    <w:charset w:val="00"/>
    <w:family w:val="swiss"/>
    <w:pitch w:val="default"/>
    <w:sig w:usb0="00000000" w:usb1="00000000"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8175"/>
      </w:tabs>
      <w:rPr>
        <w:sz w:val="20"/>
        <w:szCs w:val="20"/>
      </w:rPr>
    </w:pPr>
    <w:r>
      <w:tab/>
    </w:r>
    <w:r>
      <w:tab/>
    </w:r>
    <w:r>
      <w:rPr>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8175"/>
      </w:tabs>
      <w:rPr>
        <w:sz w:val="20"/>
        <w:szCs w:val="20"/>
      </w:rPr>
    </w:pPr>
    <w:r>
      <w:tab/>
    </w:r>
    <w:r>
      <w:tab/>
    </w:r>
    <w:r>
      <w:rPr>
        <w:sz w:val="20"/>
        <w:szCs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8E6D04"/>
    <w:multiLevelType w:val="singleLevel"/>
    <w:tmpl w:val="B78E6D04"/>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removePersonalInformation/>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5N2ZhYTJlNzFlZWEwOTE1OWM5MDIyZjM4MDA2YzEifQ=="/>
  </w:docVars>
  <w:rsids>
    <w:rsidRoot w:val="666C5178"/>
    <w:rsid w:val="000919A7"/>
    <w:rsid w:val="000A5596"/>
    <w:rsid w:val="000D12A5"/>
    <w:rsid w:val="0019135B"/>
    <w:rsid w:val="001A4680"/>
    <w:rsid w:val="001A7656"/>
    <w:rsid w:val="00207520"/>
    <w:rsid w:val="002260DB"/>
    <w:rsid w:val="00236324"/>
    <w:rsid w:val="00236991"/>
    <w:rsid w:val="00244B74"/>
    <w:rsid w:val="00274BCF"/>
    <w:rsid w:val="002D2710"/>
    <w:rsid w:val="002D7455"/>
    <w:rsid w:val="002E3AF2"/>
    <w:rsid w:val="00375D69"/>
    <w:rsid w:val="003832C6"/>
    <w:rsid w:val="003E3DC0"/>
    <w:rsid w:val="00402ABC"/>
    <w:rsid w:val="004060B4"/>
    <w:rsid w:val="004347BF"/>
    <w:rsid w:val="004426A0"/>
    <w:rsid w:val="006415EC"/>
    <w:rsid w:val="0069285A"/>
    <w:rsid w:val="006A7330"/>
    <w:rsid w:val="00762A4A"/>
    <w:rsid w:val="00772DC4"/>
    <w:rsid w:val="00785C94"/>
    <w:rsid w:val="007C133E"/>
    <w:rsid w:val="00864913"/>
    <w:rsid w:val="008A7DDE"/>
    <w:rsid w:val="008D1071"/>
    <w:rsid w:val="009527E2"/>
    <w:rsid w:val="009B7DBF"/>
    <w:rsid w:val="009D696A"/>
    <w:rsid w:val="00A73385"/>
    <w:rsid w:val="00A909B9"/>
    <w:rsid w:val="00AA7810"/>
    <w:rsid w:val="00AC4608"/>
    <w:rsid w:val="00B24731"/>
    <w:rsid w:val="00C149C6"/>
    <w:rsid w:val="00C90432"/>
    <w:rsid w:val="00C9685E"/>
    <w:rsid w:val="00CD476F"/>
    <w:rsid w:val="00D078DA"/>
    <w:rsid w:val="00D371DD"/>
    <w:rsid w:val="00D43CB4"/>
    <w:rsid w:val="00D7162C"/>
    <w:rsid w:val="00DD0C7E"/>
    <w:rsid w:val="00E0443D"/>
    <w:rsid w:val="00E1501E"/>
    <w:rsid w:val="00EC7A09"/>
    <w:rsid w:val="00F05430"/>
    <w:rsid w:val="00F7180E"/>
    <w:rsid w:val="00FF6D25"/>
    <w:rsid w:val="04F77840"/>
    <w:rsid w:val="0DF715BA"/>
    <w:rsid w:val="0FF3EEE3"/>
    <w:rsid w:val="163B4CD3"/>
    <w:rsid w:val="2733BD99"/>
    <w:rsid w:val="2AB44DE0"/>
    <w:rsid w:val="2B9BB0ED"/>
    <w:rsid w:val="2DE301C4"/>
    <w:rsid w:val="2FE7F3BA"/>
    <w:rsid w:val="371B0E86"/>
    <w:rsid w:val="37EF2DB4"/>
    <w:rsid w:val="37F6A400"/>
    <w:rsid w:val="38FF7A82"/>
    <w:rsid w:val="3B3696B8"/>
    <w:rsid w:val="3B7FCDAD"/>
    <w:rsid w:val="3BD12373"/>
    <w:rsid w:val="3CC7C703"/>
    <w:rsid w:val="3EB5E540"/>
    <w:rsid w:val="3EFE8C32"/>
    <w:rsid w:val="3FF53309"/>
    <w:rsid w:val="47FB09C5"/>
    <w:rsid w:val="4DB702C8"/>
    <w:rsid w:val="4F5E6258"/>
    <w:rsid w:val="4F953DD0"/>
    <w:rsid w:val="4F9DC974"/>
    <w:rsid w:val="4FBFE15E"/>
    <w:rsid w:val="4FFC7EDF"/>
    <w:rsid w:val="547BD80E"/>
    <w:rsid w:val="55DD6B84"/>
    <w:rsid w:val="56C7A99E"/>
    <w:rsid w:val="5785476E"/>
    <w:rsid w:val="57BC90C1"/>
    <w:rsid w:val="5CCB43CD"/>
    <w:rsid w:val="5DFE5407"/>
    <w:rsid w:val="5FF2166F"/>
    <w:rsid w:val="5FF7C66E"/>
    <w:rsid w:val="5FFFC0BE"/>
    <w:rsid w:val="65E385C6"/>
    <w:rsid w:val="666C5178"/>
    <w:rsid w:val="672F4BD5"/>
    <w:rsid w:val="67A2830B"/>
    <w:rsid w:val="6B3F74B4"/>
    <w:rsid w:val="6BD216C1"/>
    <w:rsid w:val="6BF712D1"/>
    <w:rsid w:val="6DFB1B58"/>
    <w:rsid w:val="6EFBB70C"/>
    <w:rsid w:val="6FF7128D"/>
    <w:rsid w:val="6FFC94D2"/>
    <w:rsid w:val="6FFE98ED"/>
    <w:rsid w:val="71C3F2C1"/>
    <w:rsid w:val="73BB29AA"/>
    <w:rsid w:val="743779DD"/>
    <w:rsid w:val="74BF9524"/>
    <w:rsid w:val="74EB0AF3"/>
    <w:rsid w:val="7637A042"/>
    <w:rsid w:val="76FF312E"/>
    <w:rsid w:val="76FFC663"/>
    <w:rsid w:val="77FD7D4B"/>
    <w:rsid w:val="77FDD72B"/>
    <w:rsid w:val="797FBEDC"/>
    <w:rsid w:val="79DC792F"/>
    <w:rsid w:val="7B2FA3A4"/>
    <w:rsid w:val="7B67CA6C"/>
    <w:rsid w:val="7C126827"/>
    <w:rsid w:val="7D7BE2C0"/>
    <w:rsid w:val="7D9F1A7F"/>
    <w:rsid w:val="7DBEE73E"/>
    <w:rsid w:val="7DFD6678"/>
    <w:rsid w:val="7EEFF973"/>
    <w:rsid w:val="7F2E960A"/>
    <w:rsid w:val="7F3905EE"/>
    <w:rsid w:val="7FADAE8D"/>
    <w:rsid w:val="7FB78C9B"/>
    <w:rsid w:val="7FDBF8F3"/>
    <w:rsid w:val="7FE31D47"/>
    <w:rsid w:val="7FF6F4CA"/>
    <w:rsid w:val="7FFB979B"/>
    <w:rsid w:val="7FFBA52C"/>
    <w:rsid w:val="7FFCE947"/>
    <w:rsid w:val="7FFE18F1"/>
    <w:rsid w:val="7FFFB3E3"/>
    <w:rsid w:val="979DCB19"/>
    <w:rsid w:val="9F53CF11"/>
    <w:rsid w:val="9FFAE6AC"/>
    <w:rsid w:val="9FFFC366"/>
    <w:rsid w:val="AE677042"/>
    <w:rsid w:val="AEDF3F1E"/>
    <w:rsid w:val="B0FE0056"/>
    <w:rsid w:val="B1D1D819"/>
    <w:rsid w:val="B77DC69F"/>
    <w:rsid w:val="B79A0112"/>
    <w:rsid w:val="B7BDA17B"/>
    <w:rsid w:val="B7F33CD6"/>
    <w:rsid w:val="B7FD6041"/>
    <w:rsid w:val="B9BF13A8"/>
    <w:rsid w:val="BA2FF85D"/>
    <w:rsid w:val="BB3F6DF9"/>
    <w:rsid w:val="BBBF1D03"/>
    <w:rsid w:val="BCFAA76D"/>
    <w:rsid w:val="BD71B2CD"/>
    <w:rsid w:val="BDBD355C"/>
    <w:rsid w:val="BEAE6E98"/>
    <w:rsid w:val="BEF7F784"/>
    <w:rsid w:val="BEFF253D"/>
    <w:rsid w:val="BFAE07A7"/>
    <w:rsid w:val="C33A0746"/>
    <w:rsid w:val="CEF97BD2"/>
    <w:rsid w:val="CFFDF3DB"/>
    <w:rsid w:val="CFFFA0C7"/>
    <w:rsid w:val="D5BF0DCA"/>
    <w:rsid w:val="D6360F5F"/>
    <w:rsid w:val="D6FC4479"/>
    <w:rsid w:val="D77672A7"/>
    <w:rsid w:val="DB9721F6"/>
    <w:rsid w:val="DC55BAF9"/>
    <w:rsid w:val="DF7F0E23"/>
    <w:rsid w:val="DF973B1F"/>
    <w:rsid w:val="DFDEBEAD"/>
    <w:rsid w:val="E916B796"/>
    <w:rsid w:val="EB7E54D3"/>
    <w:rsid w:val="EBCF20C7"/>
    <w:rsid w:val="ED1FF230"/>
    <w:rsid w:val="EEBBBBB5"/>
    <w:rsid w:val="EF7983DE"/>
    <w:rsid w:val="EFDFD67A"/>
    <w:rsid w:val="EFEE6431"/>
    <w:rsid w:val="EFF22D7C"/>
    <w:rsid w:val="F0FF3511"/>
    <w:rsid w:val="F1FB0D50"/>
    <w:rsid w:val="F4BB3D94"/>
    <w:rsid w:val="F5F36874"/>
    <w:rsid w:val="F5FEC797"/>
    <w:rsid w:val="F77EE7C2"/>
    <w:rsid w:val="F77F09E3"/>
    <w:rsid w:val="F7962D03"/>
    <w:rsid w:val="F7BDC303"/>
    <w:rsid w:val="F7BF721B"/>
    <w:rsid w:val="F7FF7EB9"/>
    <w:rsid w:val="F9B74BF5"/>
    <w:rsid w:val="FADBB608"/>
    <w:rsid w:val="FBB80B27"/>
    <w:rsid w:val="FBC1F6F7"/>
    <w:rsid w:val="FBFFC1DF"/>
    <w:rsid w:val="FC1E76B9"/>
    <w:rsid w:val="FC7F4ABB"/>
    <w:rsid w:val="FDFCE11F"/>
    <w:rsid w:val="FDFD873D"/>
    <w:rsid w:val="FEBDDA27"/>
    <w:rsid w:val="FEBF3374"/>
    <w:rsid w:val="FEF7C300"/>
    <w:rsid w:val="FF5B541D"/>
    <w:rsid w:val="FF63930A"/>
    <w:rsid w:val="FFB7D763"/>
    <w:rsid w:val="FFBFAF50"/>
    <w:rsid w:val="FFD89FC9"/>
    <w:rsid w:val="FFDFB500"/>
    <w:rsid w:val="FFE2438B"/>
    <w:rsid w:val="FFEE3877"/>
    <w:rsid w:val="FFEF43E3"/>
    <w:rsid w:val="FFEF7811"/>
    <w:rsid w:val="FFFEA525"/>
    <w:rsid w:val="FFFEC4BA"/>
    <w:rsid w:val="FFFF1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5"/>
    <w:qFormat/>
    <w:uiPriority w:val="0"/>
    <w:pPr>
      <w:jc w:val="left"/>
    </w:pPr>
  </w:style>
  <w:style w:type="paragraph" w:styleId="3">
    <w:name w:val="Balloon Text"/>
    <w:basedOn w:val="1"/>
    <w:link w:val="37"/>
    <w:qFormat/>
    <w:uiPriority w:val="0"/>
    <w:rPr>
      <w:sz w:val="18"/>
      <w:szCs w:val="18"/>
    </w:rPr>
  </w:style>
  <w:style w:type="paragraph" w:styleId="4">
    <w:name w:val="footer"/>
    <w:basedOn w:val="1"/>
    <w:link w:val="38"/>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36"/>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annotation reference"/>
    <w:basedOn w:val="10"/>
    <w:qFormat/>
    <w:uiPriority w:val="0"/>
    <w:rPr>
      <w:sz w:val="21"/>
      <w:szCs w:val="21"/>
    </w:rPr>
  </w:style>
  <w:style w:type="paragraph" w:customStyle="1" w:styleId="14">
    <w:name w:val="其他标准称谓"/>
    <w:next w:val="1"/>
    <w:qFormat/>
    <w:uiPriority w:val="0"/>
    <w:pPr>
      <w:framePr w:hSpace="181" w:vSpace="181" w:wrap="around" w:vAnchor="page" w:hAnchor="page" w:x="1419" w:y="2286" w:anchorLock="1"/>
      <w:spacing w:after="160" w:line="0" w:lineRule="atLeast"/>
      <w:jc w:val="distribute"/>
    </w:pPr>
    <w:rPr>
      <w:rFonts w:ascii="黑体" w:hAnsi="宋体" w:eastAsia="黑体" w:cs="Times New Roman"/>
      <w:spacing w:val="-40"/>
      <w:sz w:val="48"/>
      <w:szCs w:val="52"/>
      <w:lang w:val="en-US" w:eastAsia="zh-CN" w:bidi="ar-SA"/>
    </w:rPr>
  </w:style>
  <w:style w:type="paragraph" w:customStyle="1" w:styleId="15">
    <w:name w:val="封面标准号2"/>
    <w:qFormat/>
    <w:uiPriority w:val="0"/>
    <w:pPr>
      <w:framePr w:w="9140" w:h="1242" w:hRule="exact" w:hSpace="284" w:wrap="around" w:vAnchor="page" w:hAnchor="page" w:x="1645" w:y="2910" w:anchorLock="1"/>
      <w:spacing w:before="357" w:after="160" w:line="280" w:lineRule="exact"/>
      <w:jc w:val="right"/>
    </w:pPr>
    <w:rPr>
      <w:rFonts w:ascii="黑体" w:hAnsi="Calibri" w:eastAsia="黑体" w:cs="Times New Roman"/>
      <w:sz w:val="28"/>
      <w:szCs w:val="28"/>
      <w:lang w:val="en-US" w:eastAsia="zh-CN" w:bidi="ar-SA"/>
    </w:rPr>
  </w:style>
  <w:style w:type="paragraph" w:customStyle="1" w:styleId="16">
    <w:name w:val="封面标准代替信息"/>
    <w:qFormat/>
    <w:uiPriority w:val="0"/>
    <w:pPr>
      <w:framePr w:w="9140" w:h="1242" w:hRule="exact" w:hSpace="284" w:wrap="around" w:vAnchor="page" w:hAnchor="page" w:x="1645" w:y="2910" w:anchorLock="1"/>
      <w:spacing w:before="57" w:after="160" w:line="280" w:lineRule="exact"/>
      <w:jc w:val="right"/>
    </w:pPr>
    <w:rPr>
      <w:rFonts w:ascii="宋体" w:hAnsi="Calibri" w:eastAsia="宋体" w:cs="Times New Roman"/>
      <w:sz w:val="21"/>
      <w:szCs w:val="21"/>
      <w:lang w:val="en-US" w:eastAsia="zh-CN" w:bidi="ar-SA"/>
    </w:rPr>
  </w:style>
  <w:style w:type="paragraph" w:customStyle="1" w:styleId="17">
    <w:name w:val="封面标准名称"/>
    <w:qFormat/>
    <w:uiPriority w:val="0"/>
    <w:pPr>
      <w:framePr w:w="9639" w:h="6917" w:hRule="exact" w:wrap="around" w:vAnchor="page" w:hAnchor="page" w:xAlign="center" w:y="6408" w:anchorLock="1"/>
      <w:widowControl w:val="0"/>
      <w:spacing w:after="160" w:line="680" w:lineRule="exact"/>
      <w:jc w:val="center"/>
      <w:textAlignment w:val="center"/>
    </w:pPr>
    <w:rPr>
      <w:rFonts w:ascii="黑体" w:hAnsi="Calibri" w:eastAsia="黑体" w:cs="Times New Roman"/>
      <w:sz w:val="52"/>
      <w:lang w:val="en-US" w:eastAsia="zh-CN" w:bidi="ar-SA"/>
    </w:rPr>
  </w:style>
  <w:style w:type="paragraph" w:customStyle="1" w:styleId="18">
    <w:name w:val="封面标准英文名称"/>
    <w:basedOn w:val="17"/>
    <w:qFormat/>
    <w:uiPriority w:val="0"/>
    <w:pPr>
      <w:spacing w:before="370" w:line="400" w:lineRule="exact"/>
    </w:pPr>
    <w:rPr>
      <w:rFonts w:ascii="Times New Roman"/>
      <w:sz w:val="28"/>
      <w:szCs w:val="28"/>
    </w:rPr>
  </w:style>
  <w:style w:type="paragraph" w:customStyle="1" w:styleId="19">
    <w:name w:val="封面一致性程度标识"/>
    <w:basedOn w:val="18"/>
    <w:qFormat/>
    <w:uiPriority w:val="0"/>
    <w:pPr>
      <w:spacing w:before="440"/>
    </w:pPr>
    <w:rPr>
      <w:rFonts w:ascii="宋体" w:eastAsia="宋体"/>
    </w:rPr>
  </w:style>
  <w:style w:type="paragraph" w:customStyle="1" w:styleId="20">
    <w:name w:val="封面标准文稿类别"/>
    <w:basedOn w:val="19"/>
    <w:qFormat/>
    <w:uiPriority w:val="0"/>
    <w:pPr>
      <w:spacing w:line="240" w:lineRule="auto"/>
    </w:pPr>
    <w:rPr>
      <w:sz w:val="24"/>
    </w:rPr>
  </w:style>
  <w:style w:type="paragraph" w:customStyle="1" w:styleId="21">
    <w:name w:val="封面标准文稿编辑信息"/>
    <w:basedOn w:val="20"/>
    <w:qFormat/>
    <w:uiPriority w:val="0"/>
    <w:pPr>
      <w:spacing w:before="180" w:line="180" w:lineRule="exact"/>
    </w:pPr>
    <w:rPr>
      <w:sz w:val="21"/>
    </w:rPr>
  </w:style>
  <w:style w:type="paragraph" w:customStyle="1" w:styleId="22">
    <w:name w:val="其他发布日期"/>
    <w:basedOn w:val="23"/>
    <w:qFormat/>
    <w:uiPriority w:val="0"/>
    <w:pPr>
      <w:framePr w:vAnchor="page" w:hAnchor="text" w:x="1419"/>
    </w:pPr>
  </w:style>
  <w:style w:type="paragraph" w:customStyle="1" w:styleId="23">
    <w:name w:val="发布日期"/>
    <w:qFormat/>
    <w:uiPriority w:val="0"/>
    <w:pPr>
      <w:framePr w:w="3997" w:h="471" w:hRule="exact" w:vSpace="181" w:wrap="around" w:vAnchor="margin" w:hAnchor="page" w:x="7089" w:y="14097" w:anchorLock="1"/>
      <w:spacing w:after="160" w:line="278" w:lineRule="auto"/>
    </w:pPr>
    <w:rPr>
      <w:rFonts w:ascii="Calibri" w:hAnsi="Calibri" w:eastAsia="黑体" w:cs="Times New Roman"/>
      <w:sz w:val="28"/>
      <w:lang w:val="en-US" w:eastAsia="zh-CN" w:bidi="ar-SA"/>
    </w:rPr>
  </w:style>
  <w:style w:type="paragraph" w:customStyle="1" w:styleId="24">
    <w:name w:val="其他实施日期"/>
    <w:basedOn w:val="25"/>
    <w:qFormat/>
    <w:uiPriority w:val="0"/>
  </w:style>
  <w:style w:type="paragraph" w:customStyle="1" w:styleId="25">
    <w:name w:val="实施日期"/>
    <w:basedOn w:val="23"/>
    <w:qFormat/>
    <w:uiPriority w:val="0"/>
    <w:pPr>
      <w:framePr w:vAnchor="page" w:hAnchor="text"/>
      <w:jc w:val="right"/>
    </w:pPr>
  </w:style>
  <w:style w:type="paragraph" w:customStyle="1" w:styleId="26">
    <w:name w:val="其他发布部门"/>
    <w:basedOn w:val="27"/>
    <w:qFormat/>
    <w:uiPriority w:val="0"/>
    <w:pPr>
      <w:framePr w:y="15310"/>
      <w:spacing w:line="0" w:lineRule="atLeast"/>
    </w:pPr>
    <w:rPr>
      <w:rFonts w:ascii="黑体" w:eastAsia="黑体"/>
      <w:b w:val="0"/>
    </w:rPr>
  </w:style>
  <w:style w:type="paragraph" w:customStyle="1" w:styleId="27">
    <w:name w:val="发布部门"/>
    <w:next w:val="1"/>
    <w:qFormat/>
    <w:uiPriority w:val="0"/>
    <w:pPr>
      <w:framePr w:w="7938" w:h="1134" w:hRule="exact" w:hSpace="125" w:vSpace="181" w:wrap="around" w:vAnchor="page" w:hAnchor="page" w:x="2150" w:y="14630" w:anchorLock="1"/>
      <w:spacing w:after="160" w:line="278" w:lineRule="auto"/>
      <w:jc w:val="center"/>
    </w:pPr>
    <w:rPr>
      <w:rFonts w:ascii="宋体" w:hAnsi="Calibri" w:eastAsia="宋体" w:cs="Times New Roman"/>
      <w:b/>
      <w:spacing w:val="20"/>
      <w:w w:val="135"/>
      <w:sz w:val="28"/>
      <w:lang w:val="en-US" w:eastAsia="zh-CN" w:bidi="ar-SA"/>
    </w:rPr>
  </w:style>
  <w:style w:type="paragraph" w:customStyle="1" w:styleId="28">
    <w:name w:val="段"/>
    <w:qFormat/>
    <w:uiPriority w:val="0"/>
    <w:pPr>
      <w:tabs>
        <w:tab w:val="center" w:pos="4201"/>
        <w:tab w:val="right" w:leader="dot" w:pos="9298"/>
      </w:tabs>
      <w:autoSpaceDE w:val="0"/>
      <w:autoSpaceDN w:val="0"/>
      <w:spacing w:after="160" w:line="278" w:lineRule="auto"/>
      <w:ind w:firstLine="420" w:firstLineChars="200"/>
      <w:jc w:val="both"/>
    </w:pPr>
    <w:rPr>
      <w:rFonts w:ascii="宋体" w:hAnsi="Calibri" w:eastAsia="宋体" w:cs="Times New Roman"/>
      <w:sz w:val="21"/>
      <w:lang w:val="en-US" w:eastAsia="zh-CN" w:bidi="ar-SA"/>
    </w:rPr>
  </w:style>
  <w:style w:type="character" w:customStyle="1" w:styleId="29">
    <w:name w:val="发布"/>
    <w:qFormat/>
    <w:uiPriority w:val="0"/>
    <w:rPr>
      <w:rFonts w:ascii="黑体" w:eastAsia="黑体"/>
      <w:spacing w:val="85"/>
      <w:w w:val="100"/>
      <w:position w:val="3"/>
      <w:sz w:val="28"/>
      <w:szCs w:val="28"/>
    </w:rPr>
  </w:style>
  <w:style w:type="paragraph" w:customStyle="1" w:styleId="30">
    <w:name w:val="标准书眉_偶数页"/>
    <w:basedOn w:val="31"/>
    <w:next w:val="1"/>
    <w:qFormat/>
    <w:uiPriority w:val="0"/>
    <w:pPr>
      <w:tabs>
        <w:tab w:val="center" w:pos="4154"/>
        <w:tab w:val="right" w:pos="8306"/>
      </w:tabs>
      <w:jc w:val="left"/>
    </w:pPr>
  </w:style>
  <w:style w:type="paragraph" w:customStyle="1" w:styleId="31">
    <w:name w:val="标准书眉_奇数页"/>
    <w:next w:val="1"/>
    <w:qFormat/>
    <w:uiPriority w:val="0"/>
    <w:pPr>
      <w:tabs>
        <w:tab w:val="center" w:pos="4154"/>
        <w:tab w:val="right" w:pos="8306"/>
      </w:tabs>
      <w:spacing w:after="220" w:line="278" w:lineRule="auto"/>
      <w:jc w:val="right"/>
    </w:pPr>
    <w:rPr>
      <w:rFonts w:ascii="黑体" w:hAnsi="Calibri" w:eastAsia="黑体" w:cs="Times New Roman"/>
      <w:sz w:val="21"/>
      <w:szCs w:val="21"/>
      <w:lang w:val="en-US" w:eastAsia="zh-CN" w:bidi="ar-SA"/>
    </w:rPr>
  </w:style>
  <w:style w:type="paragraph" w:customStyle="1" w:styleId="32">
    <w:name w:val="标准书脚_偶数页"/>
    <w:qFormat/>
    <w:uiPriority w:val="0"/>
    <w:pPr>
      <w:spacing w:before="120" w:after="160" w:line="278" w:lineRule="auto"/>
      <w:ind w:left="221"/>
    </w:pPr>
    <w:rPr>
      <w:rFonts w:ascii="宋体" w:hAnsi="Calibri" w:eastAsia="宋体" w:cs="Times New Roman"/>
      <w:sz w:val="18"/>
      <w:szCs w:val="18"/>
      <w:lang w:val="en-US" w:eastAsia="zh-CN" w:bidi="ar-SA"/>
    </w:rPr>
  </w:style>
  <w:style w:type="paragraph" w:customStyle="1" w:styleId="33">
    <w:name w:val="前言、引言标题"/>
    <w:next w:val="28"/>
    <w:qFormat/>
    <w:uiPriority w:val="0"/>
    <w:pPr>
      <w:keepNext/>
      <w:pageBreakBefore/>
      <w:shd w:val="clear" w:color="FFFFFF" w:fill="FFFFFF"/>
      <w:spacing w:before="640" w:after="560" w:line="278" w:lineRule="auto"/>
      <w:jc w:val="center"/>
      <w:outlineLvl w:val="0"/>
    </w:pPr>
    <w:rPr>
      <w:rFonts w:ascii="黑体" w:hAnsi="Calibri" w:eastAsia="黑体" w:cs="Times New Roman"/>
      <w:sz w:val="32"/>
      <w:lang w:val="en-US" w:eastAsia="zh-CN" w:bidi="ar-SA"/>
    </w:rPr>
  </w:style>
  <w:style w:type="paragraph" w:customStyle="1" w:styleId="34">
    <w:name w:val="文献分类号"/>
    <w:qFormat/>
    <w:uiPriority w:val="99"/>
    <w:pPr>
      <w:widowControl w:val="0"/>
      <w:spacing w:after="160" w:line="278" w:lineRule="auto"/>
      <w:textAlignment w:val="center"/>
    </w:pPr>
    <w:rPr>
      <w:rFonts w:ascii="Times New Roman" w:hAnsi="Times New Roman" w:eastAsia="黑体" w:cs="Times New Roman"/>
      <w:sz w:val="21"/>
      <w:szCs w:val="21"/>
      <w:lang w:val="en-US" w:eastAsia="zh-CN" w:bidi="ar-SA"/>
    </w:rPr>
  </w:style>
  <w:style w:type="character" w:customStyle="1" w:styleId="35">
    <w:name w:val="批注文字 Char"/>
    <w:basedOn w:val="10"/>
    <w:link w:val="2"/>
    <w:qFormat/>
    <w:uiPriority w:val="0"/>
    <w:rPr>
      <w:rFonts w:ascii="Calibri" w:hAnsi="Calibri"/>
      <w:kern w:val="2"/>
      <w:sz w:val="21"/>
      <w:szCs w:val="24"/>
    </w:rPr>
  </w:style>
  <w:style w:type="character" w:customStyle="1" w:styleId="36">
    <w:name w:val="批注主题 Char"/>
    <w:basedOn w:val="35"/>
    <w:link w:val="7"/>
    <w:qFormat/>
    <w:uiPriority w:val="0"/>
    <w:rPr>
      <w:rFonts w:ascii="Calibri" w:hAnsi="Calibri"/>
      <w:b/>
      <w:bCs/>
      <w:kern w:val="2"/>
      <w:sz w:val="21"/>
      <w:szCs w:val="24"/>
    </w:rPr>
  </w:style>
  <w:style w:type="character" w:customStyle="1" w:styleId="37">
    <w:name w:val="批注框文本 Char"/>
    <w:basedOn w:val="10"/>
    <w:link w:val="3"/>
    <w:qFormat/>
    <w:uiPriority w:val="0"/>
    <w:rPr>
      <w:rFonts w:ascii="Calibri" w:hAnsi="Calibri"/>
      <w:kern w:val="2"/>
      <w:sz w:val="18"/>
      <w:szCs w:val="18"/>
    </w:rPr>
  </w:style>
  <w:style w:type="character" w:customStyle="1" w:styleId="38">
    <w:name w:val="页脚 Char"/>
    <w:basedOn w:val="10"/>
    <w:link w:val="4"/>
    <w:qFormat/>
    <w:uiPriority w:val="0"/>
    <w:rPr>
      <w:rFonts w:ascii="Calibri" w:hAnsi="Calibri"/>
      <w:kern w:val="2"/>
      <w:sz w:val="18"/>
      <w:szCs w:val="18"/>
    </w:rPr>
  </w:style>
  <w:style w:type="paragraph" w:customStyle="1" w:styleId="39">
    <w:name w:val="修订1"/>
    <w:hidden/>
    <w:semiHidden/>
    <w:qFormat/>
    <w:uiPriority w:val="99"/>
    <w:pPr>
      <w:spacing w:after="160" w:line="278" w:lineRule="auto"/>
    </w:pPr>
    <w:rPr>
      <w:rFonts w:ascii="Calibri" w:hAnsi="Calibri" w:eastAsia="宋体" w:cs="Times New Roman"/>
      <w:kern w:val="2"/>
      <w:sz w:val="21"/>
      <w:szCs w:val="24"/>
      <w:lang w:val="en-US" w:eastAsia="zh-CN" w:bidi="ar-SA"/>
    </w:rPr>
  </w:style>
  <w:style w:type="paragraph" w:customStyle="1" w:styleId="40">
    <w:name w:val="修订2"/>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2831</Words>
  <Characters>3352</Characters>
  <Lines>44</Lines>
  <Paragraphs>12</Paragraphs>
  <TotalTime>0</TotalTime>
  <ScaleCrop>false</ScaleCrop>
  <LinksUpToDate>false</LinksUpToDate>
  <CharactersWithSpaces>3484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2025-08-07T18:10:00Z</dcterms:created>
  <dcterms:modified xsi:type="dcterms:W3CDTF">2026-09-14T14:02:43Z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eyJoZGlkIjoiMDQwOTkwYjFkYWJmZDNkZjczY2I4MTBhNTk2YTRkYjYiLCJ1c2VySWQiOiI0NDc3NjA4NjAifQ==</vt:lpwstr>
  </property>
  <property fmtid="{D5CDD505-2E9C-101B-9397-08002B2CF9AE}" pid="3" name="KSOProductBuildVer">
    <vt:lpwstr>2052-11.8.2.10505</vt:lpwstr>
  </property>
  <property fmtid="{D5CDD505-2E9C-101B-9397-08002B2CF9AE}" pid="4" name="ICV">
    <vt:lpwstr>DA62ECC3344D446DB31EB39FB81DE2C8_12</vt:lpwstr>
  </property>
</Properties>
</file>