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8902">
      <w:pPr>
        <w:adjustRightInd w:val="0"/>
        <w:snapToGrid w:val="0"/>
        <w:spacing w:line="360" w:lineRule="auto"/>
        <w:jc w:val="center"/>
        <w:rPr>
          <w:rFonts w:hint="eastAsia" w:ascii="方正小标宋简体" w:hAnsi="Times New Roman" w:eastAsia="方正小标宋简体" w:cs="Times New Roman"/>
          <w:sz w:val="44"/>
          <w:szCs w:val="44"/>
        </w:rPr>
      </w:pPr>
      <w:bookmarkStart w:id="0" w:name="OLE_LINK18"/>
      <w:r>
        <w:rPr>
          <w:rFonts w:hint="eastAsia" w:ascii="方正小标宋简体" w:hAnsi="Times New Roman" w:eastAsia="方正小标宋简体" w:cs="Times New Roman"/>
          <w:sz w:val="44"/>
          <w:szCs w:val="44"/>
        </w:rPr>
        <w:t>奶牛乳头消毒剂安全性和有效性评价试验技术指导原则</w:t>
      </w:r>
      <w:bookmarkEnd w:id="0"/>
      <w:bookmarkStart w:id="1" w:name="OLE_LINK38"/>
    </w:p>
    <w:p w14:paraId="585F5877">
      <w:pPr>
        <w:numPr>
          <w:numId w:val="0"/>
        </w:numPr>
        <w:adjustRightInd w:val="0"/>
        <w:snapToGrid w:val="0"/>
        <w:spacing w:line="360" w:lineRule="auto"/>
        <w:ind w:left="560" w:leftChars="0"/>
        <w:rPr>
          <w:rFonts w:ascii="黑体" w:hAnsi="黑体" w:eastAsia="黑体" w:cs="Times New Roman"/>
          <w:sz w:val="28"/>
          <w:szCs w:val="28"/>
        </w:rPr>
      </w:pPr>
      <w:r>
        <w:rPr>
          <w:rFonts w:hint="eastAsia" w:ascii="黑体" w:hAnsi="黑体" w:eastAsia="黑体" w:cs="Times New Roman"/>
          <w:sz w:val="28"/>
          <w:szCs w:val="28"/>
          <w:lang w:eastAsia="zh-CN"/>
        </w:rPr>
        <w:t>一、</w:t>
      </w:r>
      <w:r>
        <w:rPr>
          <w:rFonts w:ascii="黑体" w:hAnsi="黑体" w:eastAsia="黑体" w:cs="Times New Roman"/>
          <w:sz w:val="28"/>
          <w:szCs w:val="28"/>
        </w:rPr>
        <w:t>概述</w:t>
      </w:r>
    </w:p>
    <w:p w14:paraId="3345D400">
      <w:pPr>
        <w:adjustRightInd w:val="0"/>
        <w:snapToGrid w:val="0"/>
        <w:spacing w:line="360" w:lineRule="auto"/>
        <w:ind w:firstLine="480" w:firstLineChars="200"/>
        <w:rPr>
          <w:rFonts w:ascii="黑体" w:hAnsi="黑体" w:eastAsia="黑体" w:cs="Times New Roman"/>
          <w:sz w:val="24"/>
        </w:rPr>
      </w:pPr>
      <w:r>
        <w:rPr>
          <w:rFonts w:hint="eastAsia" w:ascii="黑体" w:hAnsi="黑体" w:eastAsia="黑体" w:cs="Times New Roman"/>
          <w:sz w:val="24"/>
        </w:rPr>
        <w:t>（一）目的</w:t>
      </w:r>
    </w:p>
    <w:p w14:paraId="41B8EA8C">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为指导研发单位开展</w:t>
      </w:r>
      <w:r>
        <w:rPr>
          <w:rFonts w:ascii="Times New Roman" w:hAnsi="Times New Roman" w:eastAsia="宋体" w:cs="Times New Roman"/>
          <w:sz w:val="24"/>
        </w:rPr>
        <w:t>奶牛乳头消毒剂在自然条件下预防</w:t>
      </w:r>
      <w:r>
        <w:rPr>
          <w:rFonts w:hint="eastAsia" w:ascii="Times New Roman" w:hAnsi="Times New Roman" w:eastAsia="宋体" w:cs="Times New Roman"/>
          <w:sz w:val="24"/>
        </w:rPr>
        <w:t>乳房</w:t>
      </w:r>
      <w:r>
        <w:rPr>
          <w:rFonts w:ascii="Times New Roman" w:hAnsi="Times New Roman" w:eastAsia="宋体" w:cs="Times New Roman"/>
          <w:sz w:val="24"/>
        </w:rPr>
        <w:t>炎的</w:t>
      </w:r>
      <w:r>
        <w:rPr>
          <w:rFonts w:hint="eastAsia" w:ascii="Times New Roman" w:hAnsi="Times New Roman" w:eastAsia="宋体" w:cs="Times New Roman"/>
          <w:sz w:val="24"/>
        </w:rPr>
        <w:t>安全性和</w:t>
      </w:r>
      <w:r>
        <w:rPr>
          <w:rFonts w:ascii="Times New Roman" w:hAnsi="Times New Roman" w:eastAsia="宋体" w:cs="Times New Roman"/>
          <w:sz w:val="24"/>
        </w:rPr>
        <w:t>有效性</w:t>
      </w:r>
      <w:r>
        <w:rPr>
          <w:rFonts w:hint="eastAsia" w:ascii="Times New Roman" w:hAnsi="Times New Roman" w:eastAsia="宋体" w:cs="Times New Roman"/>
          <w:sz w:val="24"/>
        </w:rPr>
        <w:t>研究，特制定本指导原则。</w:t>
      </w:r>
    </w:p>
    <w:p w14:paraId="4F4ED657">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（二）适用范围</w:t>
      </w:r>
    </w:p>
    <w:p w14:paraId="1E81B5C1">
      <w:pPr>
        <w:adjustRightInd w:val="0"/>
        <w:snapToGrid w:val="0"/>
        <w:ind w:firstLine="480" w:firstLineChars="200"/>
        <w:jc w:val="both"/>
        <w:rPr>
          <w:rFonts w:ascii="宋体" w:hAnsi="宋体" w:eastAsia="宋体"/>
          <w:sz w:val="24"/>
        </w:rPr>
      </w:pPr>
      <w:r>
        <w:rPr>
          <w:rFonts w:hint="eastAsia" w:ascii="宋体" w:hAnsi="宋体" w:eastAsia="宋体"/>
          <w:sz w:val="24"/>
        </w:rPr>
        <w:t>适用于挤奶前或挤奶后奶牛乳头消毒剂临床安全性和有效性评价试验。</w:t>
      </w:r>
    </w:p>
    <w:p w14:paraId="71266109">
      <w:pPr>
        <w:numPr>
          <w:numId w:val="0"/>
        </w:numPr>
        <w:adjustRightInd w:val="0"/>
        <w:snapToGrid w:val="0"/>
        <w:spacing w:line="360" w:lineRule="auto"/>
        <w:ind w:left="560" w:leftChars="0"/>
        <w:rPr>
          <w:rFonts w:ascii="黑体" w:hAnsi="黑体" w:eastAsia="黑体" w:cs="Times New Roman"/>
          <w:sz w:val="28"/>
          <w:szCs w:val="28"/>
        </w:rPr>
      </w:pPr>
      <w:r>
        <w:rPr>
          <w:rFonts w:hint="eastAsia" w:ascii="黑体" w:hAnsi="黑体" w:eastAsia="黑体" w:cs="Times New Roman"/>
          <w:sz w:val="28"/>
          <w:szCs w:val="28"/>
          <w:lang w:eastAsia="zh-CN"/>
        </w:rPr>
        <w:t>二、</w:t>
      </w:r>
      <w:r>
        <w:rPr>
          <w:rFonts w:hint="eastAsia" w:ascii="黑体" w:hAnsi="黑体" w:eastAsia="黑体" w:cs="Times New Roman"/>
          <w:sz w:val="28"/>
          <w:szCs w:val="28"/>
        </w:rPr>
        <w:t>奶牛乳头消毒剂的安全性试验（乳头刺激性试验）</w:t>
      </w:r>
    </w:p>
    <w:bookmarkEnd w:id="1"/>
    <w:p w14:paraId="6FB28EC0">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研发单位应在自然条件下通过乳头刺激性试验评价拟上市乳头消毒剂的安全性。</w:t>
      </w:r>
    </w:p>
    <w:p w14:paraId="466D2186">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（一）试验动物</w:t>
      </w:r>
      <w:bookmarkStart w:id="2" w:name="OLE_LINK40"/>
    </w:p>
    <w:p w14:paraId="7A5E3209">
      <w:pPr>
        <w:adjustRightInd w:val="0"/>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1.动物选择标准</w:t>
      </w:r>
    </w:p>
    <w:p w14:paraId="62AA2C2F">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所有乳区均完整、健康的头胎奶牛和经产奶牛，应详细记录每头试验牛年龄、胎次等信息。</w:t>
      </w:r>
      <w:bookmarkEnd w:id="2"/>
    </w:p>
    <w:p w14:paraId="2E7EBCE8">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w:t>
      </w:r>
      <w:r>
        <w:rPr>
          <w:rFonts w:hint="eastAsia" w:ascii="Times New Roman" w:hAnsi="Times New Roman" w:eastAsia="宋体" w:cs="Times New Roman"/>
          <w:sz w:val="24"/>
        </w:rPr>
        <w:t>动物</w:t>
      </w:r>
      <w:r>
        <w:rPr>
          <w:rFonts w:ascii="Times New Roman" w:hAnsi="Times New Roman" w:eastAsia="宋体" w:cs="Times New Roman"/>
          <w:sz w:val="24"/>
        </w:rPr>
        <w:t>数量</w:t>
      </w:r>
    </w:p>
    <w:p w14:paraId="2CEA29B4">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可用于统计分析的头胎奶牛和经产奶牛至少各</w:t>
      </w:r>
      <w:r>
        <w:rPr>
          <w:rFonts w:hint="eastAsia" w:ascii="Times New Roman" w:hAnsi="Times New Roman" w:eastAsia="宋体" w:cs="Times New Roman"/>
          <w:sz w:val="24"/>
        </w:rPr>
        <w:t>4</w:t>
      </w:r>
      <w:r>
        <w:rPr>
          <w:rFonts w:ascii="Times New Roman" w:hAnsi="Times New Roman" w:eastAsia="宋体" w:cs="Times New Roman"/>
          <w:sz w:val="24"/>
        </w:rPr>
        <w:t>头（</w:t>
      </w:r>
      <w:r>
        <w:rPr>
          <w:rFonts w:hint="eastAsia" w:ascii="Times New Roman" w:hAnsi="Times New Roman" w:eastAsia="宋体" w:cs="Times New Roman"/>
          <w:sz w:val="24"/>
        </w:rPr>
        <w:t>32</w:t>
      </w:r>
      <w:r>
        <w:rPr>
          <w:rFonts w:ascii="Times New Roman" w:hAnsi="Times New Roman" w:eastAsia="宋体" w:cs="Times New Roman"/>
          <w:sz w:val="24"/>
        </w:rPr>
        <w:t>个乳区）</w:t>
      </w:r>
      <w:r>
        <w:rPr>
          <w:rFonts w:hint="eastAsia" w:ascii="Times New Roman" w:hAnsi="Times New Roman" w:eastAsia="宋体" w:cs="Times New Roman"/>
          <w:sz w:val="24"/>
        </w:rPr>
        <w:t>。</w:t>
      </w:r>
    </w:p>
    <w:p w14:paraId="62398347">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（二）受试药物</w:t>
      </w:r>
    </w:p>
    <w:p w14:paraId="5B3C95FC">
      <w:pPr>
        <w:adjustRightInd w:val="0"/>
        <w:snapToGrid w:val="0"/>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受试药物应与拟上市的制剂完全一致，有完整的产品质量标准草案，有合乎规定格式的说明书草案，应经检验合格后方可用于试验。</w:t>
      </w:r>
    </w:p>
    <w:p w14:paraId="67CD8F30">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（三）试验分组</w:t>
      </w:r>
    </w:p>
    <w:p w14:paraId="2D60C116">
      <w:pPr>
        <w:adjustRightInd w:val="0"/>
        <w:snapToGrid w:val="0"/>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可仅设置受试药物组。</w:t>
      </w:r>
    </w:p>
    <w:p w14:paraId="58A85A18">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（四）给药</w:t>
      </w:r>
    </w:p>
    <w:p w14:paraId="1DFDE906">
      <w:pPr>
        <w:adjustRightInd w:val="0"/>
        <w:snapToGrid w:val="0"/>
        <w:ind w:firstLine="480" w:firstLineChars="200"/>
        <w:jc w:val="both"/>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按照正常挤奶操作流程在每次挤奶前</w:t>
      </w:r>
      <w:r>
        <w:rPr>
          <w:rFonts w:hint="eastAsia" w:ascii="宋体" w:hAnsi="宋体" w:eastAsia="宋体" w:cs="宋体"/>
          <w:color w:val="000000"/>
          <w:kern w:val="0"/>
          <w:sz w:val="24"/>
        </w:rPr>
        <w:t>和/或</w:t>
      </w:r>
      <w:r>
        <w:rPr>
          <w:rFonts w:hint="eastAsia" w:ascii="Times New Roman" w:hAnsi="Times New Roman" w:eastAsia="宋体" w:cs="Times New Roman"/>
          <w:color w:val="000000"/>
          <w:kern w:val="0"/>
          <w:sz w:val="24"/>
        </w:rPr>
        <w:t>挤奶后根据受试药物推荐用法使用</w:t>
      </w:r>
      <w:r>
        <w:rPr>
          <w:rFonts w:ascii="Times New Roman" w:hAnsi="Times New Roman" w:eastAsia="宋体" w:cs="Times New Roman"/>
          <w:color w:val="000000"/>
          <w:kern w:val="0"/>
          <w:sz w:val="24"/>
        </w:rPr>
        <w:t>。</w:t>
      </w:r>
    </w:p>
    <w:p w14:paraId="6E23EE0F">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（五）观察指标和时间</w:t>
      </w:r>
    </w:p>
    <w:p w14:paraId="01C57765">
      <w:pPr>
        <w:adjustRightInd w:val="0"/>
        <w:snapToGrid w:val="0"/>
        <w:ind w:firstLine="480" w:firstLineChars="200"/>
        <w:jc w:val="both"/>
        <w:rPr>
          <w:rFonts w:ascii="Times New Roman" w:hAnsi="Times New Roman" w:eastAsia="宋体" w:cs="Times New Roman"/>
          <w:color w:val="000000"/>
          <w:kern w:val="0"/>
          <w:sz w:val="24"/>
        </w:rPr>
      </w:pPr>
      <w:r>
        <w:rPr>
          <w:rFonts w:hint="eastAsia" w:ascii="Times New Roman" w:hAnsi="Times New Roman" w:eastAsia="宋体" w:cs="Times New Roman"/>
          <w:color w:val="000000"/>
          <w:kern w:val="0"/>
          <w:sz w:val="24"/>
        </w:rPr>
        <w:t>每日观察试验牛</w:t>
      </w:r>
      <w:r>
        <w:rPr>
          <w:rFonts w:hint="eastAsia" w:ascii="宋体" w:hAnsi="宋体" w:eastAsia="宋体" w:cs="宋体"/>
          <w:color w:val="000000"/>
          <w:kern w:val="0"/>
          <w:sz w:val="24"/>
        </w:rPr>
        <w:t>乳房健康情况及整体临床表现</w:t>
      </w:r>
      <w:r>
        <w:rPr>
          <w:rFonts w:hint="eastAsia" w:ascii="Times New Roman" w:hAnsi="Times New Roman" w:eastAsia="宋体" w:cs="Times New Roman"/>
          <w:color w:val="000000"/>
          <w:kern w:val="0"/>
          <w:sz w:val="24"/>
        </w:rPr>
        <w:t>，如有异常，应详细记录。</w:t>
      </w:r>
      <w:r>
        <w:rPr>
          <w:rFonts w:hint="eastAsia" w:ascii="宋体" w:hAnsi="宋体" w:eastAsia="宋体" w:cs="宋体"/>
          <w:color w:val="000000"/>
          <w:kern w:val="0"/>
          <w:sz w:val="24"/>
        </w:rPr>
        <w:t>至少应在</w:t>
      </w:r>
      <w:r>
        <w:rPr>
          <w:rFonts w:ascii="Times New Roman" w:hAnsi="Times New Roman" w:eastAsia="宋体" w:cs="Times New Roman"/>
          <w:color w:val="000000"/>
          <w:kern w:val="0"/>
          <w:sz w:val="24"/>
        </w:rPr>
        <w:t>给药</w:t>
      </w:r>
      <w:r>
        <w:rPr>
          <w:rFonts w:hint="eastAsia" w:ascii="Times New Roman" w:hAnsi="Times New Roman" w:eastAsia="宋体" w:cs="Times New Roman"/>
          <w:color w:val="000000"/>
          <w:kern w:val="0"/>
          <w:sz w:val="24"/>
        </w:rPr>
        <w:t>前</w:t>
      </w:r>
      <w:r>
        <w:rPr>
          <w:rFonts w:ascii="Times New Roman" w:hAnsi="Times New Roman" w:eastAsia="宋体" w:cs="Times New Roman"/>
          <w:color w:val="000000"/>
          <w:kern w:val="0"/>
          <w:sz w:val="24"/>
        </w:rPr>
        <w:t>、给药</w:t>
      </w:r>
      <w:r>
        <w:rPr>
          <w:rFonts w:hint="eastAsia" w:ascii="Times New Roman" w:hAnsi="Times New Roman" w:eastAsia="宋体" w:cs="Times New Roman"/>
          <w:color w:val="000000"/>
          <w:kern w:val="0"/>
          <w:sz w:val="24"/>
        </w:rPr>
        <w:t>第14天和给药第28天进行乳头皮肤评分，评分标准可参考附表1。</w:t>
      </w:r>
    </w:p>
    <w:p w14:paraId="7A9F84A2">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（六）结果评价</w:t>
      </w:r>
    </w:p>
    <w:p w14:paraId="4A483043">
      <w:pPr>
        <w:adjustRightInd w:val="0"/>
        <w:snapToGrid w:val="0"/>
        <w:ind w:firstLine="480" w:firstLineChars="200"/>
        <w:jc w:val="both"/>
        <w:rPr>
          <w:rFonts w:ascii="宋体" w:hAnsi="宋体" w:eastAsia="宋体"/>
          <w:sz w:val="24"/>
        </w:rPr>
      </w:pPr>
      <w:r>
        <w:rPr>
          <w:rFonts w:hint="eastAsia" w:ascii="宋体" w:hAnsi="宋体" w:eastAsia="宋体"/>
          <w:sz w:val="24"/>
        </w:rPr>
        <w:t>评估试验期间试验牛整体临床表现。对</w:t>
      </w:r>
      <w:r>
        <w:rPr>
          <w:rFonts w:hint="eastAsia" w:ascii="宋体" w:hAnsi="宋体" w:eastAsia="宋体" w:cs="宋体"/>
          <w:color w:val="000000"/>
          <w:kern w:val="0"/>
          <w:sz w:val="24"/>
        </w:rPr>
        <w:t>乳头皮肤评分</w:t>
      </w:r>
      <w:r>
        <w:rPr>
          <w:rFonts w:hint="eastAsia" w:ascii="宋体" w:hAnsi="宋体" w:eastAsia="宋体"/>
          <w:sz w:val="24"/>
        </w:rPr>
        <w:t>数据进行统计分析，将给药第</w:t>
      </w:r>
      <w:r>
        <w:rPr>
          <w:rFonts w:ascii="Times New Roman" w:hAnsi="Times New Roman" w:eastAsia="宋体" w:cs="Times New Roman"/>
          <w:sz w:val="24"/>
        </w:rPr>
        <w:t>14</w:t>
      </w:r>
      <w:r>
        <w:rPr>
          <w:rFonts w:hint="eastAsia" w:ascii="Times New Roman" w:hAnsi="Times New Roman" w:eastAsia="宋体" w:cs="Times New Roman"/>
          <w:sz w:val="24"/>
        </w:rPr>
        <w:t>天和第</w:t>
      </w:r>
      <w:r>
        <w:rPr>
          <w:rFonts w:ascii="Times New Roman" w:hAnsi="Times New Roman" w:eastAsia="宋体" w:cs="Times New Roman"/>
          <w:sz w:val="24"/>
        </w:rPr>
        <w:t>28</w:t>
      </w:r>
      <w:r>
        <w:rPr>
          <w:rFonts w:hint="eastAsia" w:ascii="宋体" w:hAnsi="宋体" w:eastAsia="宋体"/>
          <w:sz w:val="24"/>
        </w:rPr>
        <w:t>天的数据分别与</w:t>
      </w:r>
      <w:bookmarkStart w:id="3" w:name="_Hlk177801252"/>
      <w:r>
        <w:rPr>
          <w:rFonts w:hint="eastAsia" w:ascii="宋体" w:hAnsi="宋体" w:eastAsia="宋体" w:cs="宋体"/>
          <w:color w:val="000000"/>
          <w:kern w:val="0"/>
          <w:sz w:val="24"/>
        </w:rPr>
        <w:t>给药前的比较，</w:t>
      </w:r>
      <w:r>
        <w:rPr>
          <w:rFonts w:hint="eastAsia" w:ascii="宋体" w:hAnsi="宋体" w:eastAsia="宋体" w:cs="宋体"/>
          <w:kern w:val="0"/>
          <w:sz w:val="24"/>
        </w:rPr>
        <w:t>根据统计结果判定消毒剂对奶牛乳头的安全性</w:t>
      </w:r>
      <w:bookmarkEnd w:id="3"/>
      <w:r>
        <w:rPr>
          <w:rFonts w:hint="eastAsia" w:ascii="宋体" w:hAnsi="宋体" w:eastAsia="宋体"/>
          <w:sz w:val="24"/>
        </w:rPr>
        <w:t>（刺激性）。</w:t>
      </w:r>
    </w:p>
    <w:p w14:paraId="4190195C">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（七）试验报告</w:t>
      </w:r>
    </w:p>
    <w:p w14:paraId="5029C453">
      <w:pPr>
        <w:adjustRightInd w:val="0"/>
        <w:snapToGrid w:val="0"/>
        <w:ind w:firstLine="480" w:firstLineChars="200"/>
        <w:jc w:val="both"/>
        <w:rPr>
          <w:rFonts w:ascii="宋体" w:hAnsi="宋体" w:eastAsia="宋体" w:cs="宋体"/>
          <w:color w:val="000000"/>
          <w:kern w:val="0"/>
          <w:sz w:val="24"/>
        </w:rPr>
      </w:pPr>
      <w:r>
        <w:rPr>
          <w:rFonts w:hint="eastAsia" w:ascii="宋体" w:hAnsi="宋体" w:eastAsia="宋体" w:cs="宋体"/>
          <w:color w:val="000000"/>
          <w:kern w:val="0"/>
          <w:sz w:val="24"/>
        </w:rPr>
        <w:t>提供完整的试验报告，需提供试验牛基础信息及观察指标的详细数据。</w:t>
      </w:r>
    </w:p>
    <w:p w14:paraId="031945FA">
      <w:pPr>
        <w:adjustRightInd w:val="0"/>
        <w:snapToGrid w:val="0"/>
        <w:ind w:firstLine="480" w:firstLineChars="200"/>
        <w:jc w:val="both"/>
        <w:rPr>
          <w:rFonts w:ascii="宋体" w:hAnsi="宋体" w:eastAsia="宋体" w:cs="宋体"/>
          <w:color w:val="000000"/>
          <w:kern w:val="0"/>
          <w:sz w:val="24"/>
        </w:rPr>
      </w:pPr>
      <w:r>
        <w:rPr>
          <w:rFonts w:hint="eastAsia" w:ascii="宋体" w:hAnsi="宋体" w:eastAsia="宋体" w:cs="宋体"/>
          <w:color w:val="000000"/>
          <w:kern w:val="0"/>
          <w:sz w:val="24"/>
        </w:rPr>
        <w:t>应提供证明试验期间挤奶设备功能正常的资料，及试验期间的环境条件资料。</w:t>
      </w:r>
    </w:p>
    <w:p w14:paraId="36E548E1">
      <w:pPr>
        <w:numPr>
          <w:ilvl w:val="0"/>
          <w:numId w:val="0"/>
        </w:numPr>
        <w:adjustRightInd w:val="0"/>
        <w:snapToGrid w:val="0"/>
        <w:spacing w:line="360" w:lineRule="auto"/>
        <w:ind w:left="560" w:leftChars="0"/>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三、奶牛乳头消毒剂的有效性试验</w:t>
      </w:r>
    </w:p>
    <w:p w14:paraId="5B5FCF51">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研发单位应在自然条件下对拟上市的乳头消毒剂进行有效性评价。</w:t>
      </w:r>
    </w:p>
    <w:p w14:paraId="51C5731A">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（一）试验动物</w:t>
      </w:r>
    </w:p>
    <w:p w14:paraId="6BD94721">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1.动物选择标准</w:t>
      </w:r>
    </w:p>
    <w:p w14:paraId="3114334E">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对目标牛群进行调查和检查，选择胎次、泌乳阶段、产奶量、乳区健康状况（体细胞计数、感染情况）等基础信息清晰的头胎奶牛和经产奶牛，应排除试验前一个月内发生过临床型乳房炎及使用相关药物的奶牛。应详细记录每头试验牛的基础信息。</w:t>
      </w:r>
    </w:p>
    <w:p w14:paraId="687D8264">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2.动物数量</w:t>
      </w:r>
    </w:p>
    <w:p w14:paraId="0678B8E4">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每组头胎奶牛和经产奶牛至少各60头。</w:t>
      </w:r>
    </w:p>
    <w:p w14:paraId="723F9E7B">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（二）试验药物</w:t>
      </w:r>
      <w:bookmarkStart w:id="4" w:name="_Hlk177799181"/>
    </w:p>
    <w:p w14:paraId="7CDB128B">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1.受试药物</w:t>
      </w:r>
    </w:p>
    <w:bookmarkEnd w:id="4"/>
    <w:p w14:paraId="24E393D1">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同奶牛乳头消毒剂的安全性试验（乳头刺激性试验）要求。</w:t>
      </w:r>
    </w:p>
    <w:p w14:paraId="2E76E7E0">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2.对照药物</w:t>
      </w:r>
    </w:p>
    <w:p w14:paraId="5E6E9D05">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对照药物应当是已经在我国批准上市，与受试药物作用相似的药物，应经检验合格后方可用于试验。</w:t>
      </w:r>
    </w:p>
    <w:p w14:paraId="7B0DD569">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（三）试验分组</w:t>
      </w:r>
    </w:p>
    <w:p w14:paraId="17CFC554">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一般设置受试药物组、对照药物组各1组。</w:t>
      </w:r>
    </w:p>
    <w:p w14:paraId="72C53854">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（四）给药</w:t>
      </w:r>
    </w:p>
    <w:p w14:paraId="57970532">
      <w:pPr>
        <w:adjustRightInd w:val="0"/>
        <w:snapToGrid w:val="0"/>
        <w:ind w:firstLine="480" w:firstLineChars="200"/>
        <w:jc w:val="both"/>
        <w:rPr>
          <w:rFonts w:ascii="Times New Roman" w:hAnsi="Times New Roman" w:eastAsia="宋体" w:cs="Times New Roman"/>
          <w:color w:val="000000"/>
          <w:kern w:val="0"/>
          <w:sz w:val="24"/>
        </w:rPr>
      </w:pPr>
      <w:r>
        <w:rPr>
          <w:rFonts w:hint="eastAsia" w:ascii="宋体" w:hAnsi="宋体" w:eastAsia="宋体"/>
          <w:sz w:val="24"/>
        </w:rPr>
        <w:t>根据牧场挤奶程序，</w:t>
      </w:r>
      <w:r>
        <w:rPr>
          <w:rFonts w:hint="eastAsia" w:ascii="宋体" w:hAnsi="宋体" w:eastAsia="宋体" w:cs="宋体"/>
          <w:color w:val="000000"/>
          <w:kern w:val="0"/>
          <w:sz w:val="24"/>
        </w:rPr>
        <w:t>按照正常挤奶操作流程在每次挤奶前和/或挤奶后根据药物推荐用法使用。</w:t>
      </w:r>
      <w:r>
        <w:rPr>
          <w:rFonts w:hint="eastAsia" w:ascii="Times New Roman" w:hAnsi="Times New Roman" w:eastAsia="宋体" w:cs="Times New Roman"/>
          <w:color w:val="000000"/>
          <w:kern w:val="0"/>
          <w:sz w:val="24"/>
        </w:rPr>
        <w:t>连续给药至少12周。</w:t>
      </w:r>
    </w:p>
    <w:p w14:paraId="22874E65">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（五）观察指标和时间</w:t>
      </w:r>
    </w:p>
    <w:p w14:paraId="29C9170B">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1.临床观察</w:t>
      </w:r>
    </w:p>
    <w:p w14:paraId="7FF605C7">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试验期间应每日观察试验牛乳房健康情况及整体临床表现，如有异常，应详细记录。</w:t>
      </w:r>
    </w:p>
    <w:p w14:paraId="1C48A9CB">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临床型乳房炎的判定方法：挤奶前验奶时，眼观乳汁异常或乳区有炎症表现，则判定为临床型乳房炎。</w:t>
      </w:r>
    </w:p>
    <w:p w14:paraId="487E83ED">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应在给药前、给药后至少每4周一次对每个乳区进行乳头孔及乳头皮肤评分，评分标准可参考附表1、附表2。</w:t>
      </w:r>
    </w:p>
    <w:p w14:paraId="51704D46">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2.采样与实验室检查</w:t>
      </w:r>
    </w:p>
    <w:p w14:paraId="43F27F87">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应在给药前及给药后至少每2周一次采集奶样，每个乳区采集平行样本送至实验室保存，分别用于体细胞计数和细菌分离培养。使用公认的方法检查每个乳区的体细胞计数，将体细胞计数≥10万个/mL的头胎牛乳区和体细胞计数≥20万个/mL的经产牛乳区奶样进行微生物培养和鉴定。</w:t>
      </w:r>
    </w:p>
    <w:p w14:paraId="3B718340">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对于患临床型乳房炎的乳区，应当在治疗前采集奶样，进行微生物培养和鉴定。</w:t>
      </w:r>
    </w:p>
    <w:p w14:paraId="035ED33D">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3.新发乳区感染判定</w:t>
      </w:r>
    </w:p>
    <w:p w14:paraId="46BCE7EB">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满足下列条件之一者，应判定为新发乳区感染：</w:t>
      </w:r>
    </w:p>
    <w:p w14:paraId="77803A33">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（1）发生临床型乳房炎；</w:t>
      </w:r>
    </w:p>
    <w:p w14:paraId="0D45B96E">
      <w:pPr>
        <w:adjustRightInd w:val="0"/>
        <w:snapToGrid w:val="0"/>
        <w:ind w:firstLine="480" w:firstLineChars="200"/>
        <w:jc w:val="both"/>
        <w:rPr>
          <w:rFonts w:hint="eastAsia" w:ascii="宋体" w:hAnsi="宋体" w:eastAsia="宋体" w:cs="宋体"/>
          <w:color w:val="000000"/>
          <w:kern w:val="0"/>
          <w:sz w:val="24"/>
        </w:rPr>
      </w:pPr>
      <w:r>
        <w:rPr>
          <w:rFonts w:hint="eastAsia" w:ascii="宋体" w:hAnsi="宋体" w:eastAsia="宋体" w:cs="宋体"/>
          <w:color w:val="000000"/>
          <w:kern w:val="0"/>
          <w:sz w:val="24"/>
        </w:rPr>
        <w:t>（2）培养检测到新的病原微生物种类，且头胎牛乳区体细胞计数≥10万个/mL或经产牛乳区体细胞计数≥20万个/mL。</w:t>
      </w:r>
    </w:p>
    <w:p w14:paraId="37E7D8A2">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（六）伴随治疗</w:t>
      </w:r>
    </w:p>
    <w:p w14:paraId="149A66CA">
      <w:pPr>
        <w:adjustRightInd w:val="0"/>
        <w:snapToGrid w:val="0"/>
        <w:ind w:firstLine="480" w:firstLineChars="200"/>
        <w:jc w:val="both"/>
        <w:rPr>
          <w:rFonts w:ascii="Times New Roman" w:hAnsi="Times New Roman" w:eastAsia="宋体" w:cs="Times New Roman"/>
          <w:sz w:val="24"/>
        </w:rPr>
      </w:pPr>
      <w:r>
        <w:rPr>
          <w:rFonts w:hint="eastAsia" w:ascii="Times New Roman" w:hAnsi="Times New Roman" w:eastAsia="宋体" w:cs="Times New Roman"/>
          <w:sz w:val="24"/>
        </w:rPr>
        <w:t>试验期间发生感染需使用抗菌药治疗的试验牛应作详细记录，治疗牛退出试验，退出前数据仍需纳入统计分析。</w:t>
      </w:r>
    </w:p>
    <w:p w14:paraId="3C33B421">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（七）结果评价</w:t>
      </w:r>
    </w:p>
    <w:p w14:paraId="57B44D19">
      <w:pPr>
        <w:adjustRightInd w:val="0"/>
        <w:snapToGrid w:val="0"/>
        <w:ind w:firstLine="480" w:firstLineChars="200"/>
        <w:jc w:val="both"/>
        <w:rPr>
          <w:rFonts w:ascii="宋体" w:hAnsi="宋体" w:eastAsia="宋体"/>
          <w:sz w:val="24"/>
        </w:rPr>
      </w:pPr>
      <w:r>
        <w:rPr>
          <w:rFonts w:hint="eastAsia" w:ascii="宋体" w:hAnsi="宋体" w:eastAsia="宋体"/>
          <w:sz w:val="24"/>
        </w:rPr>
        <w:t>以新发乳区感染率作为主要评价指标，以</w:t>
      </w:r>
      <w:r>
        <w:rPr>
          <w:rFonts w:ascii="宋体" w:hAnsi="宋体" w:eastAsia="宋体"/>
          <w:sz w:val="24"/>
        </w:rPr>
        <w:t>临床</w:t>
      </w:r>
      <w:r>
        <w:rPr>
          <w:rFonts w:hint="eastAsia" w:ascii="宋体" w:hAnsi="宋体" w:eastAsia="宋体"/>
          <w:sz w:val="24"/>
        </w:rPr>
        <w:t>型</w:t>
      </w:r>
      <w:r>
        <w:rPr>
          <w:rFonts w:ascii="宋体" w:hAnsi="宋体" w:eastAsia="宋体"/>
          <w:sz w:val="24"/>
        </w:rPr>
        <w:t>乳房炎发病率</w:t>
      </w:r>
      <w:r>
        <w:rPr>
          <w:rFonts w:hint="eastAsia" w:ascii="宋体" w:hAnsi="宋体" w:eastAsia="宋体"/>
          <w:sz w:val="24"/>
        </w:rPr>
        <w:t>、病原微生物检出情况、乳头孔及乳头皮肤评分作为次要评价指标。将试验组与对照组的各评价指标进行统计分析，确定消毒剂的有效性。</w:t>
      </w:r>
    </w:p>
    <w:p w14:paraId="7D3375AC">
      <w:pPr>
        <w:adjustRightInd w:val="0"/>
        <w:snapToGrid w:val="0"/>
        <w:spacing w:line="360" w:lineRule="auto"/>
        <w:ind w:firstLine="480" w:firstLineChars="200"/>
        <w:rPr>
          <w:rFonts w:hint="eastAsia" w:ascii="黑体" w:hAnsi="黑体" w:eastAsia="黑体" w:cs="Times New Roman"/>
          <w:sz w:val="24"/>
        </w:rPr>
      </w:pPr>
      <w:r>
        <w:rPr>
          <w:rFonts w:hint="eastAsia" w:ascii="黑体" w:hAnsi="黑体" w:eastAsia="黑体" w:cs="Times New Roman"/>
          <w:sz w:val="24"/>
        </w:rPr>
        <w:t>（八）试验报告</w:t>
      </w:r>
    </w:p>
    <w:p w14:paraId="4DCB0F4F">
      <w:pPr>
        <w:adjustRightInd w:val="0"/>
        <w:snapToGrid w:val="0"/>
        <w:ind w:firstLine="480" w:firstLineChars="200"/>
        <w:jc w:val="both"/>
        <w:rPr>
          <w:rFonts w:ascii="宋体" w:hAnsi="宋体" w:eastAsia="宋体" w:cs="宋体"/>
          <w:color w:val="000000"/>
          <w:kern w:val="0"/>
          <w:sz w:val="24"/>
        </w:rPr>
      </w:pPr>
      <w:r>
        <w:rPr>
          <w:rFonts w:hint="eastAsia" w:ascii="宋体" w:hAnsi="宋体" w:eastAsia="宋体" w:cs="宋体"/>
          <w:color w:val="000000"/>
          <w:kern w:val="0"/>
          <w:sz w:val="24"/>
        </w:rPr>
        <w:t>提供完整的试验报告，需提供试验牛基础信息及各评价指标的详细数据。</w:t>
      </w:r>
    </w:p>
    <w:p w14:paraId="711D5002">
      <w:pPr>
        <w:adjustRightInd w:val="0"/>
        <w:snapToGrid w:val="0"/>
        <w:ind w:firstLine="480" w:firstLineChars="200"/>
        <w:jc w:val="both"/>
        <w:rPr>
          <w:rFonts w:ascii="宋体" w:hAnsi="宋体" w:eastAsia="宋体" w:cs="宋体"/>
          <w:color w:val="000000"/>
          <w:kern w:val="0"/>
          <w:sz w:val="24"/>
        </w:rPr>
      </w:pPr>
      <w:r>
        <w:rPr>
          <w:rFonts w:hint="eastAsia" w:ascii="宋体" w:hAnsi="宋体" w:eastAsia="宋体" w:cs="宋体"/>
          <w:color w:val="000000"/>
          <w:kern w:val="0"/>
          <w:sz w:val="24"/>
        </w:rPr>
        <w:t>应提供证明试验期间挤奶设备功能正常的资料，及试验期间的环境条件资料。</w:t>
      </w:r>
    </w:p>
    <w:p w14:paraId="25067EB2">
      <w:pPr>
        <w:numPr>
          <w:ilvl w:val="0"/>
          <w:numId w:val="0"/>
        </w:numPr>
        <w:adjustRightInd w:val="0"/>
        <w:snapToGrid w:val="0"/>
        <w:spacing w:line="360" w:lineRule="auto"/>
        <w:ind w:left="560" w:leftChars="0"/>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四、附表</w:t>
      </w:r>
    </w:p>
    <w:p w14:paraId="05374850">
      <w:pPr>
        <w:adjustRightInd w:val="0"/>
        <w:snapToGrid w:val="0"/>
        <w:ind w:firstLine="422" w:firstLineChars="200"/>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附表</w:t>
      </w:r>
      <w:r>
        <w:rPr>
          <w:rFonts w:ascii="Times New Roman" w:hAnsi="Times New Roman" w:eastAsia="宋体" w:cs="Times New Roman"/>
          <w:b/>
          <w:bCs/>
          <w:color w:val="000000"/>
          <w:kern w:val="0"/>
          <w:szCs w:val="21"/>
        </w:rPr>
        <w:t xml:space="preserve">1 </w:t>
      </w:r>
      <w:r>
        <w:rPr>
          <w:rFonts w:hint="eastAsia" w:ascii="Times New Roman" w:hAnsi="Times New Roman" w:eastAsia="宋体" w:cs="Times New Roman"/>
          <w:b/>
          <w:bCs/>
          <w:color w:val="000000"/>
          <w:kern w:val="0"/>
          <w:szCs w:val="21"/>
        </w:rPr>
        <w:t>乳头皮肤评分</w:t>
      </w:r>
    </w:p>
    <w:tbl>
      <w:tblPr>
        <w:tblStyle w:val="16"/>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8"/>
        <w:gridCol w:w="5116"/>
        <w:gridCol w:w="852"/>
      </w:tblGrid>
      <w:tr w14:paraId="17B2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377" w:type="pct"/>
            <w:vAlign w:val="center"/>
          </w:tcPr>
          <w:p w14:paraId="34DDC9C7">
            <w:pPr>
              <w:adjustRightInd w:val="0"/>
              <w:snapToGrid w:val="0"/>
              <w:spacing w:line="240" w:lineRule="auto"/>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参数</w:t>
            </w:r>
          </w:p>
        </w:tc>
        <w:tc>
          <w:tcPr>
            <w:tcW w:w="3106" w:type="pct"/>
            <w:vAlign w:val="center"/>
          </w:tcPr>
          <w:p w14:paraId="3B92B148">
            <w:pPr>
              <w:adjustRightInd w:val="0"/>
              <w:snapToGrid w:val="0"/>
              <w:spacing w:line="240" w:lineRule="auto"/>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乳头状况</w:t>
            </w:r>
          </w:p>
        </w:tc>
        <w:tc>
          <w:tcPr>
            <w:tcW w:w="517" w:type="pct"/>
            <w:vAlign w:val="center"/>
          </w:tcPr>
          <w:p w14:paraId="05A7F6C5">
            <w:pPr>
              <w:adjustRightInd w:val="0"/>
              <w:snapToGrid w:val="0"/>
              <w:spacing w:line="240" w:lineRule="auto"/>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分值</w:t>
            </w:r>
          </w:p>
        </w:tc>
      </w:tr>
      <w:tr w14:paraId="41E5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1377" w:type="pct"/>
            <w:vMerge w:val="restart"/>
            <w:vAlign w:val="center"/>
          </w:tcPr>
          <w:p w14:paraId="380BE1AC">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皮肤干燥度（上杯前评估）</w:t>
            </w:r>
          </w:p>
        </w:tc>
        <w:tc>
          <w:tcPr>
            <w:tcW w:w="3106" w:type="pct"/>
            <w:vAlign w:val="center"/>
          </w:tcPr>
          <w:p w14:paraId="3ADD4832">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光滑</w:t>
            </w:r>
          </w:p>
        </w:tc>
        <w:tc>
          <w:tcPr>
            <w:tcW w:w="517" w:type="pct"/>
            <w:vAlign w:val="center"/>
          </w:tcPr>
          <w:p w14:paraId="56276F4B">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0</w:t>
            </w:r>
          </w:p>
        </w:tc>
      </w:tr>
      <w:tr w14:paraId="5287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1377" w:type="pct"/>
            <w:vMerge w:val="continue"/>
            <w:vAlign w:val="center"/>
          </w:tcPr>
          <w:p w14:paraId="1AC18D0B">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0E4CA668">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轻度粗糙</w:t>
            </w:r>
          </w:p>
        </w:tc>
        <w:tc>
          <w:tcPr>
            <w:tcW w:w="517" w:type="pct"/>
            <w:vAlign w:val="center"/>
          </w:tcPr>
          <w:p w14:paraId="2D989B3B">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w:t>
            </w:r>
          </w:p>
        </w:tc>
      </w:tr>
      <w:tr w14:paraId="30BC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4320F5E6">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62865AA2">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非常粗糙</w:t>
            </w:r>
          </w:p>
        </w:tc>
        <w:tc>
          <w:tcPr>
            <w:tcW w:w="517" w:type="pct"/>
            <w:vAlign w:val="center"/>
          </w:tcPr>
          <w:p w14:paraId="574FF023">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w:t>
            </w:r>
          </w:p>
        </w:tc>
      </w:tr>
      <w:tr w14:paraId="1B46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restart"/>
            <w:vAlign w:val="center"/>
          </w:tcPr>
          <w:p w14:paraId="433535E1">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皲裂（上杯前评估）</w:t>
            </w:r>
          </w:p>
        </w:tc>
        <w:tc>
          <w:tcPr>
            <w:tcW w:w="3106" w:type="pct"/>
            <w:vAlign w:val="center"/>
          </w:tcPr>
          <w:p w14:paraId="6B60C0BE">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无</w:t>
            </w:r>
          </w:p>
        </w:tc>
        <w:tc>
          <w:tcPr>
            <w:tcW w:w="517" w:type="pct"/>
            <w:vAlign w:val="center"/>
          </w:tcPr>
          <w:p w14:paraId="79CF2837">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0</w:t>
            </w:r>
          </w:p>
        </w:tc>
      </w:tr>
      <w:tr w14:paraId="4045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029E6850">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12146B94">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轻度</w:t>
            </w:r>
          </w:p>
        </w:tc>
        <w:tc>
          <w:tcPr>
            <w:tcW w:w="517" w:type="pct"/>
            <w:vAlign w:val="center"/>
          </w:tcPr>
          <w:p w14:paraId="346FCE2E">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w:t>
            </w:r>
          </w:p>
        </w:tc>
      </w:tr>
      <w:tr w14:paraId="6F51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495DAB83">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2989AEF6">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严重或多处皲裂</w:t>
            </w:r>
          </w:p>
        </w:tc>
        <w:tc>
          <w:tcPr>
            <w:tcW w:w="517" w:type="pct"/>
            <w:vAlign w:val="center"/>
          </w:tcPr>
          <w:p w14:paraId="2209DC33">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w:t>
            </w:r>
          </w:p>
        </w:tc>
      </w:tr>
      <w:tr w14:paraId="03A4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restart"/>
            <w:vAlign w:val="center"/>
          </w:tcPr>
          <w:p w14:paraId="1EDB074F">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红斑和结痂形成（脱杯后评估）</w:t>
            </w:r>
          </w:p>
        </w:tc>
        <w:tc>
          <w:tcPr>
            <w:tcW w:w="3106" w:type="pct"/>
            <w:vAlign w:val="center"/>
          </w:tcPr>
          <w:p w14:paraId="53B427C2">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无红斑</w:t>
            </w:r>
          </w:p>
        </w:tc>
        <w:tc>
          <w:tcPr>
            <w:tcW w:w="517" w:type="pct"/>
            <w:vAlign w:val="center"/>
          </w:tcPr>
          <w:p w14:paraId="416610F2">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0</w:t>
            </w:r>
          </w:p>
        </w:tc>
      </w:tr>
      <w:tr w14:paraId="421B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6B417FC3">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4ACF56F2">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极轻微红斑（隐约可见）</w:t>
            </w:r>
          </w:p>
        </w:tc>
        <w:tc>
          <w:tcPr>
            <w:tcW w:w="517" w:type="pct"/>
            <w:vAlign w:val="center"/>
          </w:tcPr>
          <w:p w14:paraId="0F476C8A">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w:t>
            </w:r>
          </w:p>
        </w:tc>
      </w:tr>
      <w:tr w14:paraId="2176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3B34BBEB">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7119FBC9">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边界清楚的红斑</w:t>
            </w:r>
          </w:p>
        </w:tc>
        <w:tc>
          <w:tcPr>
            <w:tcW w:w="517" w:type="pct"/>
            <w:vAlign w:val="center"/>
          </w:tcPr>
          <w:p w14:paraId="0CDD50EC">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w:t>
            </w:r>
          </w:p>
        </w:tc>
      </w:tr>
      <w:tr w14:paraId="246F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4DC7D090">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0598FBE8">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中度至重度红斑</w:t>
            </w:r>
          </w:p>
        </w:tc>
        <w:tc>
          <w:tcPr>
            <w:tcW w:w="517" w:type="pct"/>
            <w:vAlign w:val="center"/>
          </w:tcPr>
          <w:p w14:paraId="5904B3B8">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3</w:t>
            </w:r>
          </w:p>
        </w:tc>
      </w:tr>
      <w:tr w14:paraId="3818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63EC4447">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7A044077">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重度红斑（紫红色至轻微焦痂形成）</w:t>
            </w:r>
          </w:p>
        </w:tc>
        <w:tc>
          <w:tcPr>
            <w:tcW w:w="517" w:type="pct"/>
            <w:vAlign w:val="center"/>
          </w:tcPr>
          <w:p w14:paraId="102A0BEC">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4</w:t>
            </w:r>
          </w:p>
        </w:tc>
      </w:tr>
      <w:tr w14:paraId="11C6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restart"/>
            <w:vAlign w:val="center"/>
          </w:tcPr>
          <w:p w14:paraId="0C94CBEA">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水肿形成（脱杯后评估）</w:t>
            </w:r>
          </w:p>
        </w:tc>
        <w:tc>
          <w:tcPr>
            <w:tcW w:w="3106" w:type="pct"/>
            <w:vAlign w:val="center"/>
          </w:tcPr>
          <w:p w14:paraId="435F9504">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无水肿</w:t>
            </w:r>
          </w:p>
        </w:tc>
        <w:tc>
          <w:tcPr>
            <w:tcW w:w="517" w:type="pct"/>
            <w:vAlign w:val="center"/>
          </w:tcPr>
          <w:p w14:paraId="44E49F75">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0</w:t>
            </w:r>
          </w:p>
        </w:tc>
      </w:tr>
      <w:tr w14:paraId="7B62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78B8FC77">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6BBA6746">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极轻微水肿（隐约可见）</w:t>
            </w:r>
          </w:p>
        </w:tc>
        <w:tc>
          <w:tcPr>
            <w:tcW w:w="517" w:type="pct"/>
            <w:vAlign w:val="center"/>
          </w:tcPr>
          <w:p w14:paraId="6918E6FB">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w:t>
            </w:r>
          </w:p>
        </w:tc>
      </w:tr>
      <w:tr w14:paraId="0238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7EF69457">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54A5DC31">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轻微水肿（通过明确的凸起界定边缘或区域）</w:t>
            </w:r>
          </w:p>
        </w:tc>
        <w:tc>
          <w:tcPr>
            <w:tcW w:w="517" w:type="pct"/>
            <w:vAlign w:val="center"/>
          </w:tcPr>
          <w:p w14:paraId="79FD371D">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w:t>
            </w:r>
          </w:p>
        </w:tc>
      </w:tr>
      <w:tr w14:paraId="29C8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1377" w:type="pct"/>
            <w:vMerge w:val="continue"/>
            <w:vAlign w:val="center"/>
          </w:tcPr>
          <w:p w14:paraId="4353899D">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76D3347C">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中度水肿（凸起约1mm）</w:t>
            </w:r>
          </w:p>
        </w:tc>
        <w:tc>
          <w:tcPr>
            <w:tcW w:w="517" w:type="pct"/>
            <w:vAlign w:val="center"/>
          </w:tcPr>
          <w:p w14:paraId="1F9171D5">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3</w:t>
            </w:r>
          </w:p>
        </w:tc>
      </w:tr>
      <w:tr w14:paraId="1608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377" w:type="pct"/>
            <w:vMerge w:val="continue"/>
            <w:vAlign w:val="center"/>
          </w:tcPr>
          <w:p w14:paraId="17160CF3">
            <w:pPr>
              <w:adjustRightInd w:val="0"/>
              <w:snapToGrid w:val="0"/>
              <w:spacing w:line="240" w:lineRule="auto"/>
              <w:ind w:left="105" w:leftChars="50" w:right="105" w:rightChars="50"/>
              <w:rPr>
                <w:rFonts w:ascii="Times New Roman" w:hAnsi="Times New Roman" w:eastAsia="宋体" w:cs="Times New Roman"/>
                <w:kern w:val="0"/>
                <w:sz w:val="21"/>
                <w:szCs w:val="21"/>
              </w:rPr>
            </w:pPr>
          </w:p>
        </w:tc>
        <w:tc>
          <w:tcPr>
            <w:tcW w:w="3106" w:type="pct"/>
            <w:vAlign w:val="center"/>
          </w:tcPr>
          <w:p w14:paraId="43FB95C7">
            <w:pPr>
              <w:adjustRightInd w:val="0"/>
              <w:snapToGrid w:val="0"/>
              <w:spacing w:line="240" w:lineRule="auto"/>
              <w:ind w:left="105" w:leftChars="50" w:right="105" w:rightChars="5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重度水肿（凸起超过1mm并超出暴露区域）</w:t>
            </w:r>
          </w:p>
        </w:tc>
        <w:tc>
          <w:tcPr>
            <w:tcW w:w="517" w:type="pct"/>
            <w:vAlign w:val="center"/>
          </w:tcPr>
          <w:p w14:paraId="25ADC26B">
            <w:pPr>
              <w:adjustRightInd w:val="0"/>
              <w:snapToGrid w:val="0"/>
              <w:spacing w:line="240" w:lineRule="auto"/>
              <w:ind w:right="105" w:rightChars="50"/>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4</w:t>
            </w:r>
          </w:p>
        </w:tc>
      </w:tr>
    </w:tbl>
    <w:p w14:paraId="58C59034">
      <w:pPr>
        <w:adjustRightInd w:val="0"/>
        <w:snapToGrid w:val="0"/>
        <w:rPr>
          <w:rFonts w:ascii="Times New Roman" w:hAnsi="Times New Roman" w:eastAsia="宋体" w:cs="Times New Roman"/>
          <w:b/>
          <w:bCs/>
          <w:color w:val="FF0000"/>
          <w:kern w:val="0"/>
          <w:szCs w:val="21"/>
        </w:rPr>
      </w:pPr>
    </w:p>
    <w:p w14:paraId="2E3A0045">
      <w:pPr>
        <w:adjustRightInd w:val="0"/>
        <w:snapToGrid w:val="0"/>
        <w:jc w:val="center"/>
        <w:rPr>
          <w:rFonts w:ascii="宋体" w:hAnsi="宋体" w:eastAsia="宋体" w:cs="宋体"/>
          <w:color w:val="000000" w:themeColor="text1"/>
          <w:kern w:val="0"/>
          <w:sz w:val="24"/>
          <w14:textFill>
            <w14:solidFill>
              <w14:schemeClr w14:val="tx1"/>
            </w14:solidFill>
          </w14:textFill>
        </w:rPr>
      </w:pPr>
      <w:r>
        <w:rPr>
          <w:rFonts w:hint="eastAsia" w:ascii="Times New Roman" w:hAnsi="Times New Roman" w:eastAsia="宋体" w:cs="Times New Roman"/>
          <w:b/>
          <w:bCs/>
          <w:color w:val="000000" w:themeColor="text1"/>
          <w:kern w:val="0"/>
          <w:szCs w:val="21"/>
          <w14:textFill>
            <w14:solidFill>
              <w14:schemeClr w14:val="tx1"/>
            </w14:solidFill>
          </w14:textFill>
        </w:rPr>
        <w:t>附表</w:t>
      </w:r>
      <w:r>
        <w:rPr>
          <w:rFonts w:ascii="Times New Roman" w:hAnsi="Times New Roman" w:eastAsia="宋体" w:cs="Times New Roman"/>
          <w:b/>
          <w:bCs/>
          <w:color w:val="000000" w:themeColor="text1"/>
          <w:kern w:val="0"/>
          <w:szCs w:val="21"/>
          <w14:textFill>
            <w14:solidFill>
              <w14:schemeClr w14:val="tx1"/>
            </w14:solidFill>
          </w14:textFill>
        </w:rPr>
        <w:t xml:space="preserve">2 </w:t>
      </w:r>
      <w:r>
        <w:rPr>
          <w:rFonts w:hint="eastAsia" w:ascii="Times New Roman" w:hAnsi="Times New Roman" w:eastAsia="宋体" w:cs="Times New Roman"/>
          <w:b/>
          <w:bCs/>
          <w:color w:val="000000" w:themeColor="text1"/>
          <w:kern w:val="0"/>
          <w:szCs w:val="21"/>
          <w14:textFill>
            <w14:solidFill>
              <w14:schemeClr w14:val="tx1"/>
            </w14:solidFill>
          </w14:textFill>
        </w:rPr>
        <w:t>乳头孔评分</w:t>
      </w:r>
    </w:p>
    <w:tbl>
      <w:tblPr>
        <w:tblStyle w:val="12"/>
        <w:tblW w:w="52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2954"/>
        <w:gridCol w:w="3896"/>
        <w:gridCol w:w="1340"/>
      </w:tblGrid>
      <w:tr w14:paraId="1BD0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8" w:space="0"/>
              <w:bottom w:val="single" w:color="auto" w:sz="8" w:space="0"/>
            </w:tcBorders>
            <w:vAlign w:val="center"/>
          </w:tcPr>
          <w:p w14:paraId="022927B1">
            <w:pPr>
              <w:adjustRightInd w:val="0"/>
              <w:snapToGrid w:val="0"/>
              <w:spacing w:line="240" w:lineRule="auto"/>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分值</w:t>
            </w:r>
          </w:p>
        </w:tc>
        <w:tc>
          <w:tcPr>
            <w:tcW w:w="1656" w:type="pct"/>
            <w:tcBorders>
              <w:top w:val="single" w:color="auto" w:sz="8" w:space="0"/>
              <w:bottom w:val="single" w:color="auto" w:sz="8" w:space="0"/>
            </w:tcBorders>
            <w:vAlign w:val="center"/>
          </w:tcPr>
          <w:p w14:paraId="7FE475DB">
            <w:pPr>
              <w:adjustRightInd w:val="0"/>
              <w:snapToGrid w:val="0"/>
              <w:spacing w:line="240" w:lineRule="auto"/>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描述</w:t>
            </w:r>
          </w:p>
        </w:tc>
        <w:tc>
          <w:tcPr>
            <w:tcW w:w="2184" w:type="pct"/>
            <w:tcBorders>
              <w:top w:val="single" w:color="auto" w:sz="8" w:space="0"/>
              <w:bottom w:val="single" w:color="auto" w:sz="8" w:space="0"/>
            </w:tcBorders>
            <w:vAlign w:val="center"/>
          </w:tcPr>
          <w:p w14:paraId="7A8A5A7A">
            <w:pPr>
              <w:adjustRightInd w:val="0"/>
              <w:snapToGrid w:val="0"/>
              <w:spacing w:line="240" w:lineRule="auto"/>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模式图</w:t>
            </w:r>
          </w:p>
        </w:tc>
        <w:tc>
          <w:tcPr>
            <w:tcW w:w="751" w:type="pct"/>
            <w:tcBorders>
              <w:top w:val="single" w:color="auto" w:sz="8" w:space="0"/>
              <w:bottom w:val="single" w:color="auto" w:sz="8" w:space="0"/>
            </w:tcBorders>
            <w:vAlign w:val="center"/>
          </w:tcPr>
          <w:p w14:paraId="28BDFE45">
            <w:pPr>
              <w:adjustRightInd w:val="0"/>
              <w:snapToGrid w:val="0"/>
              <w:spacing w:line="240" w:lineRule="auto"/>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示例</w:t>
            </w:r>
          </w:p>
        </w:tc>
      </w:tr>
      <w:tr w14:paraId="2EF9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8" w:space="0"/>
              <w:bottom w:val="single" w:color="auto" w:sz="4" w:space="0"/>
            </w:tcBorders>
            <w:vAlign w:val="center"/>
          </w:tcPr>
          <w:p w14:paraId="26B0BC7E">
            <w:pPr>
              <w:pStyle w:val="9"/>
              <w:adjustRightInd w:val="0"/>
              <w:snapToGrid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w:t>
            </w:r>
          </w:p>
        </w:tc>
        <w:tc>
          <w:tcPr>
            <w:tcW w:w="1656" w:type="pct"/>
            <w:tcBorders>
              <w:top w:val="single" w:color="auto" w:sz="8" w:space="0"/>
              <w:bottom w:val="single" w:color="auto" w:sz="4" w:space="0"/>
            </w:tcBorders>
            <w:vAlign w:val="center"/>
          </w:tcPr>
          <w:p w14:paraId="653BE43F">
            <w:pPr>
              <w:pStyle w:val="9"/>
              <w:adjustRightInd w:val="0"/>
              <w:snapToGrid w:val="0"/>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正常</w:t>
            </w:r>
          </w:p>
          <w:p w14:paraId="45B020C0">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乳头末端光滑，乳头孔较小、边缘光滑</w:t>
            </w:r>
          </w:p>
        </w:tc>
        <w:tc>
          <w:tcPr>
            <w:tcW w:w="2184" w:type="pct"/>
            <w:tcBorders>
              <w:top w:val="single" w:color="auto" w:sz="8" w:space="0"/>
              <w:bottom w:val="single" w:color="auto" w:sz="4" w:space="0"/>
            </w:tcBorders>
            <w:vAlign w:val="center"/>
          </w:tcPr>
          <w:p w14:paraId="10E533C1">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drawing>
                <wp:inline distT="0" distB="0" distL="0" distR="0">
                  <wp:extent cx="1469390" cy="463550"/>
                  <wp:effectExtent l="0" t="0" r="0" b="0"/>
                  <wp:docPr id="229679622" name="图片 22967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79622" name="图片 2296796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69390" cy="463550"/>
                          </a:xfrm>
                          <a:prstGeom prst="rect">
                            <a:avLst/>
                          </a:prstGeom>
                          <a:noFill/>
                        </pic:spPr>
                      </pic:pic>
                    </a:graphicData>
                  </a:graphic>
                </wp:inline>
              </w:drawing>
            </w:r>
          </w:p>
        </w:tc>
        <w:tc>
          <w:tcPr>
            <w:tcW w:w="751" w:type="pct"/>
            <w:tcBorders>
              <w:top w:val="single" w:color="auto" w:sz="8" w:space="0"/>
              <w:bottom w:val="single" w:color="auto" w:sz="4" w:space="0"/>
            </w:tcBorders>
            <w:vAlign w:val="center"/>
          </w:tcPr>
          <w:p w14:paraId="43FF29F6">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drawing>
                <wp:inline distT="0" distB="0" distL="0" distR="0">
                  <wp:extent cx="607695" cy="547370"/>
                  <wp:effectExtent l="0" t="0" r="1905" b="5080"/>
                  <wp:docPr id="1405250762" name="图片 140525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50762" name="图片 14052507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9985" cy="549269"/>
                          </a:xfrm>
                          <a:prstGeom prst="rect">
                            <a:avLst/>
                          </a:prstGeom>
                          <a:noFill/>
                        </pic:spPr>
                      </pic:pic>
                    </a:graphicData>
                  </a:graphic>
                </wp:inline>
              </w:drawing>
            </w:r>
          </w:p>
        </w:tc>
      </w:tr>
      <w:tr w14:paraId="5708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4" w:space="0"/>
              <w:bottom w:val="single" w:color="auto" w:sz="4" w:space="0"/>
            </w:tcBorders>
            <w:vAlign w:val="center"/>
          </w:tcPr>
          <w:p w14:paraId="38B0F183">
            <w:pPr>
              <w:pStyle w:val="9"/>
              <w:adjustRightInd w:val="0"/>
              <w:snapToGrid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w:t>
            </w:r>
          </w:p>
        </w:tc>
        <w:tc>
          <w:tcPr>
            <w:tcW w:w="1656" w:type="pct"/>
            <w:tcBorders>
              <w:top w:val="single" w:color="auto" w:sz="4" w:space="0"/>
              <w:bottom w:val="single" w:color="auto" w:sz="4" w:space="0"/>
            </w:tcBorders>
            <w:vAlign w:val="center"/>
          </w:tcPr>
          <w:p w14:paraId="772E0DAC">
            <w:pPr>
              <w:pStyle w:val="9"/>
              <w:adjustRightInd w:val="0"/>
              <w:snapToGrid w:val="0"/>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光滑或稍粗糙的环状隆起</w:t>
            </w:r>
          </w:p>
          <w:p w14:paraId="3CCF6C95">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乳头孔周围有明显的环状隆起，隆起的部位可能光滑或稍显粗糙</w:t>
            </w:r>
          </w:p>
        </w:tc>
        <w:tc>
          <w:tcPr>
            <w:tcW w:w="2184" w:type="pct"/>
            <w:tcBorders>
              <w:top w:val="single" w:color="auto" w:sz="4" w:space="0"/>
              <w:bottom w:val="single" w:color="auto" w:sz="4" w:space="0"/>
            </w:tcBorders>
            <w:vAlign w:val="center"/>
          </w:tcPr>
          <w:p w14:paraId="7C855596">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drawing>
                <wp:inline distT="0" distB="0" distL="0" distR="0">
                  <wp:extent cx="2273935" cy="506095"/>
                  <wp:effectExtent l="0" t="0" r="0" b="8255"/>
                  <wp:docPr id="1547614441" name="图片 154761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14441" name="图片 1547614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3935" cy="506095"/>
                          </a:xfrm>
                          <a:prstGeom prst="rect">
                            <a:avLst/>
                          </a:prstGeom>
                          <a:noFill/>
                        </pic:spPr>
                      </pic:pic>
                    </a:graphicData>
                  </a:graphic>
                </wp:inline>
              </w:drawing>
            </w:r>
          </w:p>
        </w:tc>
        <w:tc>
          <w:tcPr>
            <w:tcW w:w="751" w:type="pct"/>
            <w:tcBorders>
              <w:top w:val="single" w:color="auto" w:sz="4" w:space="0"/>
              <w:bottom w:val="single" w:color="auto" w:sz="4" w:space="0"/>
            </w:tcBorders>
            <w:vAlign w:val="center"/>
          </w:tcPr>
          <w:p w14:paraId="223143F2">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drawing>
                <wp:inline distT="0" distB="0" distL="0" distR="0">
                  <wp:extent cx="608330" cy="560070"/>
                  <wp:effectExtent l="0" t="0" r="1270" b="0"/>
                  <wp:docPr id="591093752" name="图片 59109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93752" name="图片 591093752"/>
                          <pic:cNvPicPr>
                            <a:picLocks noChangeAspect="1" noChangeArrowheads="1"/>
                          </pic:cNvPicPr>
                        </pic:nvPicPr>
                        <pic:blipFill>
                          <a:blip r:embed="rId10">
                            <a:extLst>
                              <a:ext uri="{28A0092B-C50C-407E-A947-70E740481C1C}">
                                <a14:useLocalDpi xmlns:a14="http://schemas.microsoft.com/office/drawing/2010/main" val="0"/>
                              </a:ext>
                            </a:extLst>
                          </a:blip>
                          <a:srcRect l="8130" r="-1"/>
                          <a:stretch>
                            <a:fillRect/>
                          </a:stretch>
                        </pic:blipFill>
                        <pic:spPr>
                          <a:xfrm>
                            <a:off x="0" y="0"/>
                            <a:ext cx="608400" cy="560466"/>
                          </a:xfrm>
                          <a:prstGeom prst="rect">
                            <a:avLst/>
                          </a:prstGeom>
                          <a:noFill/>
                          <a:ln>
                            <a:noFill/>
                          </a:ln>
                        </pic:spPr>
                      </pic:pic>
                    </a:graphicData>
                  </a:graphic>
                </wp:inline>
              </w:drawing>
            </w:r>
            <w:r>
              <w:rPr>
                <w:rFonts w:ascii="Times New Roman" w:hAnsi="Times New Roman" w:cs="Times New Roman"/>
                <w:color w:val="000000" w:themeColor="text1"/>
                <w:sz w:val="21"/>
                <w:szCs w:val="21"/>
                <w14:textFill>
                  <w14:solidFill>
                    <w14:schemeClr w14:val="tx1"/>
                  </w14:solidFill>
                </w14:textFill>
              </w:rPr>
              <w:drawing>
                <wp:inline distT="0" distB="0" distL="0" distR="0">
                  <wp:extent cx="602615" cy="582295"/>
                  <wp:effectExtent l="0" t="0" r="6985" b="8255"/>
                  <wp:docPr id="2051387762" name="图片 205138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87762" name="图片 20513877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5355" cy="585036"/>
                          </a:xfrm>
                          <a:prstGeom prst="rect">
                            <a:avLst/>
                          </a:prstGeom>
                          <a:noFill/>
                        </pic:spPr>
                      </pic:pic>
                    </a:graphicData>
                  </a:graphic>
                </wp:inline>
              </w:drawing>
            </w:r>
          </w:p>
        </w:tc>
      </w:tr>
      <w:tr w14:paraId="4555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4" w:space="0"/>
              <w:bottom w:val="single" w:color="auto" w:sz="4" w:space="0"/>
            </w:tcBorders>
            <w:vAlign w:val="center"/>
          </w:tcPr>
          <w:p w14:paraId="75EA9608">
            <w:pPr>
              <w:pStyle w:val="9"/>
              <w:adjustRightInd w:val="0"/>
              <w:snapToGrid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w:t>
            </w:r>
          </w:p>
        </w:tc>
        <w:tc>
          <w:tcPr>
            <w:tcW w:w="1656" w:type="pct"/>
            <w:tcBorders>
              <w:top w:val="single" w:color="auto" w:sz="4" w:space="0"/>
              <w:bottom w:val="single" w:color="auto" w:sz="4" w:space="0"/>
            </w:tcBorders>
            <w:vAlign w:val="center"/>
          </w:tcPr>
          <w:p w14:paraId="438A9995">
            <w:pPr>
              <w:pStyle w:val="9"/>
              <w:adjustRightInd w:val="0"/>
              <w:snapToGrid w:val="0"/>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粗糙的环状隆起</w:t>
            </w:r>
          </w:p>
          <w:p w14:paraId="3732B987">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乳头孔周围有粗糙的环状隆起，内侧有陈旧性角化组织（</w:t>
            </w:r>
            <w:r>
              <w:rPr>
                <w:rFonts w:ascii="Times New Roman" w:hAnsi="Times New Roman" w:cs="Times New Roman"/>
                <w:color w:val="000000" w:themeColor="text1"/>
                <w:sz w:val="21"/>
                <w:szCs w:val="21"/>
                <w14:textFill>
                  <w14:solidFill>
                    <w14:schemeClr w14:val="tx1"/>
                  </w14:solidFill>
                </w14:textFill>
              </w:rPr>
              <w:t>1-3mm</w:t>
            </w:r>
            <w:r>
              <w:rPr>
                <w:rFonts w:hint="eastAsia" w:ascii="Times New Roman" w:hAnsi="Times New Roman" w:cs="Times New Roman"/>
                <w:color w:val="000000" w:themeColor="text1"/>
                <w:sz w:val="21"/>
                <w:szCs w:val="21"/>
                <w14:textFill>
                  <w14:solidFill>
                    <w14:schemeClr w14:val="tx1"/>
                  </w14:solidFill>
                </w14:textFill>
              </w:rPr>
              <w:t>长），隆起部位的外侧缘完整</w:t>
            </w:r>
          </w:p>
        </w:tc>
        <w:tc>
          <w:tcPr>
            <w:tcW w:w="2184" w:type="pct"/>
            <w:tcBorders>
              <w:top w:val="single" w:color="auto" w:sz="4" w:space="0"/>
              <w:bottom w:val="single" w:color="auto" w:sz="4" w:space="0"/>
            </w:tcBorders>
            <w:vAlign w:val="center"/>
          </w:tcPr>
          <w:p w14:paraId="30044610">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drawing>
                <wp:inline distT="0" distB="0" distL="0" distR="0">
                  <wp:extent cx="1505585" cy="530225"/>
                  <wp:effectExtent l="0" t="0" r="0" b="3175"/>
                  <wp:docPr id="539495580" name="图片 53949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95580" name="图片 5394955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05585" cy="530225"/>
                          </a:xfrm>
                          <a:prstGeom prst="rect">
                            <a:avLst/>
                          </a:prstGeom>
                          <a:noFill/>
                        </pic:spPr>
                      </pic:pic>
                    </a:graphicData>
                  </a:graphic>
                </wp:inline>
              </w:drawing>
            </w:r>
          </w:p>
        </w:tc>
        <w:tc>
          <w:tcPr>
            <w:tcW w:w="751" w:type="pct"/>
            <w:tcBorders>
              <w:top w:val="single" w:color="auto" w:sz="4" w:space="0"/>
              <w:bottom w:val="single" w:color="auto" w:sz="4" w:space="0"/>
            </w:tcBorders>
            <w:vAlign w:val="center"/>
          </w:tcPr>
          <w:p w14:paraId="2F009B5F">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drawing>
                <wp:inline distT="0" distB="0" distL="0" distR="0">
                  <wp:extent cx="602615" cy="615950"/>
                  <wp:effectExtent l="0" t="0" r="6985" b="0"/>
                  <wp:docPr id="1240187262" name="图片 1240187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87262" name="图片 12401872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3140" cy="616404"/>
                          </a:xfrm>
                          <a:prstGeom prst="rect">
                            <a:avLst/>
                          </a:prstGeom>
                          <a:noFill/>
                        </pic:spPr>
                      </pic:pic>
                    </a:graphicData>
                  </a:graphic>
                </wp:inline>
              </w:drawing>
            </w:r>
            <w:r>
              <w:rPr>
                <w:rFonts w:ascii="Times New Roman" w:hAnsi="Times New Roman" w:cs="Times New Roman"/>
                <w:color w:val="000000" w:themeColor="text1"/>
                <w:sz w:val="21"/>
                <w:szCs w:val="21"/>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drawing>
                <wp:inline distT="0" distB="0" distL="0" distR="0">
                  <wp:extent cx="608330" cy="654050"/>
                  <wp:effectExtent l="0" t="0" r="1270" b="0"/>
                  <wp:docPr id="1048603487" name="图片 104860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03487" name="图片 10486034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08400" cy="654267"/>
                          </a:xfrm>
                          <a:prstGeom prst="rect">
                            <a:avLst/>
                          </a:prstGeom>
                          <a:noFill/>
                        </pic:spPr>
                      </pic:pic>
                    </a:graphicData>
                  </a:graphic>
                </wp:inline>
              </w:drawing>
            </w:r>
          </w:p>
        </w:tc>
      </w:tr>
      <w:tr w14:paraId="7224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4" w:space="0"/>
              <w:bottom w:val="single" w:color="auto" w:sz="12" w:space="0"/>
            </w:tcBorders>
            <w:vAlign w:val="center"/>
          </w:tcPr>
          <w:p w14:paraId="750D42AC">
            <w:pPr>
              <w:pStyle w:val="9"/>
              <w:adjustRightInd w:val="0"/>
              <w:snapToGrid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w:t>
            </w:r>
          </w:p>
        </w:tc>
        <w:tc>
          <w:tcPr>
            <w:tcW w:w="1656" w:type="pct"/>
            <w:tcBorders>
              <w:top w:val="single" w:color="auto" w:sz="4" w:space="0"/>
              <w:bottom w:val="single" w:color="auto" w:sz="12" w:space="0"/>
            </w:tcBorders>
            <w:vAlign w:val="center"/>
          </w:tcPr>
          <w:p w14:paraId="18C3A664">
            <w:pPr>
              <w:pStyle w:val="9"/>
              <w:adjustRightInd w:val="0"/>
              <w:snapToGrid w:val="0"/>
              <w:rPr>
                <w:rFonts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非常粗糙的环状隆起</w:t>
            </w:r>
          </w:p>
          <w:p w14:paraId="24D2FF01">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乳头孔周围有粗糙的环状隆起，隆起部位的内外侧边缘有皲裂，有陈旧性角化组织，乳头孔呈</w:t>
            </w:r>
            <w:r>
              <w:rPr>
                <w:rFonts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开花</w:t>
            </w:r>
            <w:r>
              <w:rPr>
                <w:rFonts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状</w:t>
            </w:r>
          </w:p>
        </w:tc>
        <w:tc>
          <w:tcPr>
            <w:tcW w:w="2184" w:type="pct"/>
            <w:tcBorders>
              <w:top w:val="single" w:color="auto" w:sz="4" w:space="0"/>
              <w:bottom w:val="single" w:color="auto" w:sz="12" w:space="0"/>
            </w:tcBorders>
            <w:vAlign w:val="center"/>
          </w:tcPr>
          <w:p w14:paraId="4D8D9770">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drawing>
                <wp:inline distT="0" distB="0" distL="0" distR="0">
                  <wp:extent cx="1518285" cy="524510"/>
                  <wp:effectExtent l="0" t="0" r="5715" b="8890"/>
                  <wp:docPr id="499691436" name="图片 49969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91436" name="图片 4996914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18285" cy="524510"/>
                          </a:xfrm>
                          <a:prstGeom prst="rect">
                            <a:avLst/>
                          </a:prstGeom>
                          <a:noFill/>
                        </pic:spPr>
                      </pic:pic>
                    </a:graphicData>
                  </a:graphic>
                </wp:inline>
              </w:drawing>
            </w:r>
          </w:p>
        </w:tc>
        <w:tc>
          <w:tcPr>
            <w:tcW w:w="751" w:type="pct"/>
            <w:tcBorders>
              <w:top w:val="single" w:color="auto" w:sz="4" w:space="0"/>
              <w:bottom w:val="single" w:color="auto" w:sz="12" w:space="0"/>
            </w:tcBorders>
            <w:vAlign w:val="center"/>
          </w:tcPr>
          <w:p w14:paraId="4BF787DE">
            <w:pPr>
              <w:pStyle w:val="9"/>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drawing>
                <wp:inline distT="0" distB="0" distL="0" distR="0">
                  <wp:extent cx="611505" cy="570865"/>
                  <wp:effectExtent l="0" t="0" r="0" b="635"/>
                  <wp:docPr id="376429504" name="图片 37642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29504" name="图片 3764295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12000" cy="571321"/>
                          </a:xfrm>
                          <a:prstGeom prst="rect">
                            <a:avLst/>
                          </a:prstGeom>
                          <a:noFill/>
                        </pic:spPr>
                      </pic:pic>
                    </a:graphicData>
                  </a:graphic>
                </wp:inline>
              </w:drawing>
            </w:r>
          </w:p>
        </w:tc>
      </w:tr>
    </w:tbl>
    <w:p w14:paraId="52E2F252">
      <w:pPr>
        <w:numPr>
          <w:ilvl w:val="0"/>
          <w:numId w:val="0"/>
        </w:numPr>
        <w:adjustRightInd w:val="0"/>
        <w:snapToGrid w:val="0"/>
        <w:spacing w:line="360" w:lineRule="auto"/>
        <w:ind w:left="560" w:leftChars="0"/>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五、术语</w:t>
      </w:r>
    </w:p>
    <w:p w14:paraId="67771D83">
      <w:pPr>
        <w:adjustRightInd w:val="0"/>
        <w:snapToGrid w:val="0"/>
        <w:ind w:firstLine="480" w:firstLineChars="200"/>
        <w:jc w:val="both"/>
        <w:rPr>
          <w:rFonts w:ascii="微软雅黑" w:hAnsi="微软雅黑" w:eastAsia="宋体" w:cs="宋体"/>
          <w:color w:val="000000"/>
          <w:kern w:val="0"/>
          <w:sz w:val="24"/>
        </w:rPr>
      </w:pPr>
      <w:r>
        <w:rPr>
          <w:rFonts w:hint="eastAsia" w:ascii="宋体" w:hAnsi="宋体" w:eastAsia="宋体"/>
          <w:sz w:val="24"/>
        </w:rPr>
        <w:t>乳房炎</w:t>
      </w:r>
      <w:r>
        <w:rPr>
          <w:rFonts w:hint="eastAsia" w:ascii="宋体" w:hAnsi="宋体" w:eastAsia="宋体" w:cs="宋体"/>
          <w:color w:val="000000"/>
          <w:kern w:val="0"/>
          <w:sz w:val="24"/>
        </w:rPr>
        <w:t>（</w:t>
      </w:r>
      <w:r>
        <w:rPr>
          <w:rFonts w:ascii="Times New Roman" w:hAnsi="Times New Roman" w:eastAsia="宋体" w:cs="Times New Roman"/>
          <w:color w:val="000000"/>
          <w:kern w:val="0"/>
          <w:sz w:val="24"/>
        </w:rPr>
        <w:t>Mastitis</w:t>
      </w:r>
      <w:r>
        <w:rPr>
          <w:rFonts w:hint="eastAsia" w:ascii="宋体" w:hAnsi="宋体" w:eastAsia="宋体" w:cs="宋体"/>
          <w:color w:val="000000"/>
          <w:kern w:val="0"/>
          <w:sz w:val="24"/>
        </w:rPr>
        <w:t>）：通常是由一种或多种病原微生物感染引起的乳腺组织的炎症，以乳腺上皮细胞发生病理学改变为特征，继而出现炎性反应和乳汁变性，感染乳区白细胞增多。</w:t>
      </w:r>
    </w:p>
    <w:p w14:paraId="5FB40FBE">
      <w:pPr>
        <w:adjustRightInd w:val="0"/>
        <w:snapToGrid w:val="0"/>
        <w:ind w:firstLine="480" w:firstLineChars="200"/>
        <w:jc w:val="both"/>
        <w:rPr>
          <w:rFonts w:ascii="微软雅黑" w:hAnsi="微软雅黑" w:eastAsia="宋体" w:cs="宋体"/>
          <w:color w:val="000000"/>
          <w:kern w:val="0"/>
          <w:sz w:val="24"/>
        </w:rPr>
      </w:pPr>
      <w:r>
        <w:rPr>
          <w:rFonts w:hint="eastAsia" w:ascii="宋体" w:hAnsi="宋体" w:eastAsia="宋体" w:cs="宋体"/>
          <w:color w:val="000000"/>
          <w:kern w:val="0"/>
          <w:sz w:val="24"/>
        </w:rPr>
        <w:t>临床型乳房炎（</w:t>
      </w:r>
      <w:r>
        <w:rPr>
          <w:rFonts w:ascii="Times New Roman" w:hAnsi="Times New Roman" w:eastAsia="宋体" w:cs="Times New Roman"/>
          <w:color w:val="000000"/>
          <w:kern w:val="0"/>
          <w:sz w:val="24"/>
        </w:rPr>
        <w:t>Clinical mastitis</w:t>
      </w:r>
      <w:r>
        <w:rPr>
          <w:rFonts w:hint="eastAsia" w:ascii="宋体" w:hAnsi="宋体" w:eastAsia="宋体" w:cs="宋体"/>
          <w:color w:val="000000"/>
          <w:kern w:val="0"/>
          <w:sz w:val="24"/>
        </w:rPr>
        <w:t>）：奶牛乳汁性状改变（凝乳块或絮状物、水样外观、颜色变化），一个或多个乳区有临床症状（肿胀、发热、疼痛、潮红），并可能伴有全身性症状（发热、食欲减退）的乳房炎。</w:t>
      </w:r>
    </w:p>
    <w:p w14:paraId="19CCCE1B">
      <w:pPr>
        <w:adjustRightInd w:val="0"/>
        <w:snapToGrid w:val="0"/>
        <w:ind w:firstLine="480" w:firstLineChars="200"/>
        <w:jc w:val="both"/>
        <w:rPr>
          <w:rFonts w:ascii="宋体" w:hAnsi="宋体" w:eastAsia="宋体" w:cs="宋体"/>
          <w:color w:val="000000"/>
          <w:kern w:val="0"/>
          <w:sz w:val="24"/>
        </w:rPr>
      </w:pPr>
      <w:r>
        <w:rPr>
          <w:rFonts w:hint="eastAsia" w:ascii="宋体" w:hAnsi="宋体" w:eastAsia="宋体" w:cs="宋体"/>
          <w:color w:val="000000"/>
          <w:kern w:val="0"/>
          <w:sz w:val="24"/>
        </w:rPr>
        <w:t>亚临床型（隐性）乳房炎（</w:t>
      </w:r>
      <w:r>
        <w:rPr>
          <w:rFonts w:ascii="Times New Roman" w:hAnsi="Times New Roman" w:eastAsia="宋体" w:cs="Times New Roman"/>
          <w:color w:val="000000"/>
          <w:kern w:val="0"/>
          <w:sz w:val="24"/>
        </w:rPr>
        <w:t>Sub-clinical mastitis</w:t>
      </w:r>
      <w:r>
        <w:rPr>
          <w:rFonts w:hint="eastAsia" w:ascii="宋体" w:hAnsi="宋体" w:eastAsia="宋体" w:cs="宋体"/>
          <w:color w:val="000000"/>
          <w:kern w:val="0"/>
          <w:sz w:val="24"/>
        </w:rPr>
        <w:t>）：有感染、没有临床症状的乳房炎，乳汁理化性质发生变化，乳中体细胞计数</w:t>
      </w:r>
      <w:r>
        <w:rPr>
          <w:rFonts w:ascii="宋体" w:hAnsi="宋体" w:eastAsia="宋体" w:cs="宋体"/>
          <w:color w:val="000000"/>
          <w:kern w:val="0"/>
          <w:sz w:val="24"/>
        </w:rPr>
        <w:t>显著升高</w:t>
      </w:r>
      <w:r>
        <w:rPr>
          <w:rFonts w:hint="eastAsia" w:ascii="宋体" w:hAnsi="宋体" w:eastAsia="宋体" w:cs="宋体"/>
          <w:color w:val="000000"/>
          <w:kern w:val="0"/>
          <w:sz w:val="24"/>
        </w:rPr>
        <w:t>，培养存在病原微生物。</w:t>
      </w:r>
    </w:p>
    <w:p w14:paraId="610BB2BB">
      <w:pPr>
        <w:adjustRightInd w:val="0"/>
        <w:snapToGrid w:val="0"/>
        <w:ind w:firstLine="480" w:firstLineChars="200"/>
        <w:jc w:val="both"/>
        <w:rPr>
          <w:rFonts w:ascii="宋体" w:hAnsi="宋体" w:eastAsia="宋体" w:cs="宋体"/>
          <w:color w:val="000000"/>
          <w:kern w:val="0"/>
          <w:sz w:val="24"/>
        </w:rPr>
      </w:pPr>
      <w:r>
        <w:rPr>
          <w:rFonts w:ascii="宋体" w:hAnsi="宋体" w:eastAsia="宋体" w:cs="宋体"/>
          <w:color w:val="000000"/>
          <w:kern w:val="0"/>
          <w:sz w:val="24"/>
        </w:rPr>
        <w:t>体细胞计数（</w:t>
      </w:r>
      <w:r>
        <w:rPr>
          <w:rFonts w:ascii="Times New Roman" w:hAnsi="Times New Roman" w:eastAsia="宋体" w:cs="Times New Roman"/>
          <w:color w:val="000000"/>
          <w:kern w:val="0"/>
          <w:sz w:val="24"/>
        </w:rPr>
        <w:t xml:space="preserve">Somatic </w:t>
      </w:r>
      <w:r>
        <w:rPr>
          <w:rFonts w:hint="eastAsia" w:ascii="Times New Roman" w:hAnsi="Times New Roman" w:eastAsia="宋体" w:cs="Times New Roman"/>
          <w:color w:val="000000"/>
          <w:kern w:val="0"/>
          <w:sz w:val="24"/>
        </w:rPr>
        <w:t>c</w:t>
      </w:r>
      <w:r>
        <w:rPr>
          <w:rFonts w:ascii="Times New Roman" w:hAnsi="Times New Roman" w:eastAsia="宋体" w:cs="Times New Roman"/>
          <w:color w:val="000000"/>
          <w:kern w:val="0"/>
          <w:sz w:val="24"/>
        </w:rPr>
        <w:t xml:space="preserve">ell </w:t>
      </w:r>
      <w:r>
        <w:rPr>
          <w:rFonts w:hint="eastAsia" w:ascii="Times New Roman" w:hAnsi="Times New Roman" w:eastAsia="宋体" w:cs="Times New Roman"/>
          <w:color w:val="000000"/>
          <w:kern w:val="0"/>
          <w:sz w:val="24"/>
        </w:rPr>
        <w:t>c</w:t>
      </w:r>
      <w:r>
        <w:rPr>
          <w:rFonts w:ascii="Times New Roman" w:hAnsi="Times New Roman" w:eastAsia="宋体" w:cs="Times New Roman"/>
          <w:color w:val="000000"/>
          <w:kern w:val="0"/>
          <w:sz w:val="24"/>
        </w:rPr>
        <w:t>ount</w:t>
      </w:r>
      <w:r>
        <w:rPr>
          <w:rFonts w:hint="eastAsia" w:ascii="Times New Roman" w:hAnsi="Times New Roman" w:eastAsia="宋体" w:cs="Times New Roman"/>
          <w:color w:val="000000"/>
          <w:kern w:val="0"/>
          <w:sz w:val="24"/>
        </w:rPr>
        <w:t>，</w:t>
      </w:r>
      <w:r>
        <w:rPr>
          <w:rFonts w:ascii="Times New Roman" w:hAnsi="Times New Roman" w:eastAsia="宋体" w:cs="Times New Roman"/>
          <w:color w:val="000000"/>
          <w:kern w:val="0"/>
          <w:sz w:val="24"/>
        </w:rPr>
        <w:t>SCC）</w:t>
      </w:r>
      <w:r>
        <w:rPr>
          <w:rFonts w:hint="eastAsia" w:ascii="宋体" w:hAnsi="宋体" w:eastAsia="宋体" w:cs="宋体"/>
          <w:color w:val="000000"/>
          <w:kern w:val="0"/>
          <w:sz w:val="24"/>
        </w:rPr>
        <w:t>：</w:t>
      </w:r>
      <w:r>
        <w:rPr>
          <w:rFonts w:ascii="宋体" w:hAnsi="宋体" w:eastAsia="宋体" w:cs="宋体"/>
          <w:color w:val="000000"/>
          <w:kern w:val="0"/>
          <w:sz w:val="24"/>
        </w:rPr>
        <w:t>每毫升</w:t>
      </w:r>
      <w:r>
        <w:rPr>
          <w:rFonts w:hint="eastAsia" w:ascii="宋体" w:hAnsi="宋体" w:eastAsia="宋体" w:cs="宋体"/>
          <w:color w:val="000000"/>
          <w:kern w:val="0"/>
          <w:sz w:val="24"/>
        </w:rPr>
        <w:t>乳汁</w:t>
      </w:r>
      <w:r>
        <w:rPr>
          <w:rFonts w:ascii="宋体" w:hAnsi="宋体" w:eastAsia="宋体" w:cs="宋体"/>
          <w:color w:val="000000"/>
          <w:kern w:val="0"/>
          <w:sz w:val="24"/>
        </w:rPr>
        <w:t>中体细胞的数量，体细胞主要包括白细胞、上皮细胞和少量其他细胞。体细胞</w:t>
      </w:r>
      <w:r>
        <w:rPr>
          <w:rFonts w:hint="eastAsia" w:ascii="宋体" w:hAnsi="宋体" w:eastAsia="宋体" w:cs="宋体"/>
          <w:color w:val="000000"/>
          <w:kern w:val="0"/>
          <w:sz w:val="24"/>
        </w:rPr>
        <w:t>计数</w:t>
      </w:r>
      <w:r>
        <w:rPr>
          <w:rFonts w:ascii="宋体" w:hAnsi="宋体" w:eastAsia="宋体" w:cs="宋体"/>
          <w:color w:val="000000"/>
          <w:kern w:val="0"/>
          <w:sz w:val="24"/>
        </w:rPr>
        <w:t>是奶牛乳房健康状况的重要指标，当奶牛乳房受到</w:t>
      </w:r>
      <w:r>
        <w:rPr>
          <w:rFonts w:hint="eastAsia" w:ascii="宋体" w:hAnsi="宋体" w:eastAsia="宋体" w:cs="宋体"/>
          <w:color w:val="000000"/>
          <w:kern w:val="0"/>
          <w:sz w:val="24"/>
        </w:rPr>
        <w:t>病原微生物</w:t>
      </w:r>
      <w:r>
        <w:rPr>
          <w:rFonts w:ascii="宋体" w:hAnsi="宋体" w:eastAsia="宋体" w:cs="宋体"/>
          <w:color w:val="000000"/>
          <w:kern w:val="0"/>
          <w:sz w:val="24"/>
        </w:rPr>
        <w:t>感染或发生炎症时，体细胞计数显著升高。</w:t>
      </w:r>
    </w:p>
    <w:p w14:paraId="18D4905E">
      <w:pPr>
        <w:adjustRightInd w:val="0"/>
        <w:snapToGrid w:val="0"/>
        <w:ind w:firstLine="480" w:firstLineChars="200"/>
        <w:jc w:val="both"/>
        <w:rPr>
          <w:rFonts w:ascii="宋体" w:hAnsi="宋体" w:eastAsia="宋体" w:cs="宋体"/>
          <w:color w:val="000000"/>
          <w:kern w:val="0"/>
          <w:sz w:val="24"/>
        </w:rPr>
      </w:pPr>
      <w:r>
        <w:rPr>
          <w:rFonts w:hint="eastAsia" w:ascii="宋体" w:hAnsi="宋体" w:eastAsia="宋体" w:cs="宋体"/>
          <w:color w:val="000000"/>
          <w:kern w:val="0"/>
          <w:sz w:val="24"/>
        </w:rPr>
        <w:t>新发乳区感染（</w:t>
      </w:r>
      <w:r>
        <w:rPr>
          <w:rFonts w:ascii="Times New Roman" w:hAnsi="Times New Roman" w:eastAsia="宋体" w:cs="Times New Roman"/>
          <w:color w:val="000000"/>
          <w:kern w:val="0"/>
          <w:sz w:val="24"/>
        </w:rPr>
        <w:t>New intramammary infection</w:t>
      </w:r>
      <w:r>
        <w:rPr>
          <w:rFonts w:hint="eastAsia" w:ascii="Times New Roman" w:hAnsi="Times New Roman" w:eastAsia="宋体" w:cs="Times New Roman"/>
          <w:color w:val="000000"/>
          <w:kern w:val="0"/>
          <w:sz w:val="24"/>
        </w:rPr>
        <w:t>，NIMI</w:t>
      </w:r>
      <w:r>
        <w:rPr>
          <w:rFonts w:hint="eastAsia" w:ascii="宋体" w:hAnsi="宋体" w:eastAsia="宋体" w:cs="宋体"/>
          <w:color w:val="000000"/>
          <w:kern w:val="0"/>
          <w:sz w:val="24"/>
        </w:rPr>
        <w:t>）：</w:t>
      </w:r>
      <w:r>
        <w:rPr>
          <w:rFonts w:ascii="宋体" w:hAnsi="宋体" w:eastAsia="宋体" w:cs="宋体"/>
          <w:color w:val="000000"/>
          <w:kern w:val="0"/>
          <w:sz w:val="24"/>
        </w:rPr>
        <w:t>乳区在之前没有受到感染的情况下，因</w:t>
      </w:r>
      <w:r>
        <w:rPr>
          <w:rFonts w:hint="eastAsia" w:ascii="宋体" w:hAnsi="宋体" w:eastAsia="宋体" w:cs="宋体"/>
          <w:color w:val="000000"/>
          <w:kern w:val="0"/>
          <w:sz w:val="24"/>
        </w:rPr>
        <w:t>病原微生物</w:t>
      </w:r>
      <w:r>
        <w:rPr>
          <w:rFonts w:ascii="宋体" w:hAnsi="宋体" w:eastAsia="宋体" w:cs="宋体"/>
          <w:color w:val="000000"/>
          <w:kern w:val="0"/>
          <w:sz w:val="24"/>
        </w:rPr>
        <w:t>（如细菌）入侵乳腺组织导致的首次感染</w:t>
      </w:r>
      <w:r>
        <w:rPr>
          <w:rFonts w:hint="eastAsia" w:ascii="宋体" w:hAnsi="宋体" w:eastAsia="宋体" w:cs="宋体"/>
          <w:color w:val="000000"/>
          <w:kern w:val="0"/>
          <w:sz w:val="24"/>
        </w:rPr>
        <w:t>。</w:t>
      </w:r>
      <w:r>
        <w:rPr>
          <w:rFonts w:ascii="宋体" w:hAnsi="宋体" w:eastAsia="宋体" w:cs="宋体"/>
          <w:color w:val="000000"/>
          <w:kern w:val="0"/>
          <w:sz w:val="24"/>
        </w:rPr>
        <w:t>通常伴随体细胞计数升高，且可以通过临床表现或</w:t>
      </w:r>
      <w:r>
        <w:rPr>
          <w:rFonts w:hint="eastAsia" w:ascii="宋体" w:hAnsi="宋体" w:eastAsia="宋体" w:cs="宋体"/>
          <w:color w:val="000000"/>
          <w:kern w:val="0"/>
          <w:sz w:val="24"/>
        </w:rPr>
        <w:t>微生物</w:t>
      </w:r>
      <w:r>
        <w:rPr>
          <w:rFonts w:ascii="宋体" w:hAnsi="宋体" w:eastAsia="宋体" w:cs="宋体"/>
          <w:color w:val="000000"/>
          <w:kern w:val="0"/>
          <w:sz w:val="24"/>
        </w:rPr>
        <w:t>培养来确诊。</w:t>
      </w:r>
    </w:p>
    <w:p w14:paraId="4AA76EBB">
      <w:pPr>
        <w:numPr>
          <w:ilvl w:val="0"/>
          <w:numId w:val="0"/>
        </w:numPr>
        <w:adjustRightInd w:val="0"/>
        <w:snapToGrid w:val="0"/>
        <w:spacing w:line="360" w:lineRule="auto"/>
        <w:ind w:left="560" w:leftChars="0"/>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t>六、参考文献</w:t>
      </w:r>
    </w:p>
    <w:p w14:paraId="144FD075">
      <w:pPr>
        <w:pStyle w:val="17"/>
        <w:numPr>
          <w:ilvl w:val="0"/>
          <w:numId w:val="1"/>
        </w:numPr>
        <w:adjustRightInd w:val="0"/>
        <w:snapToGrid w:val="0"/>
        <w:ind w:firstLineChars="0"/>
        <w:jc w:val="both"/>
        <w:rPr>
          <w:rFonts w:ascii="Times New Roman" w:hAnsi="Times New Roman" w:eastAsia="宋体" w:cs="Times New Roman"/>
          <w:sz w:val="24"/>
        </w:rPr>
      </w:pPr>
      <w:r>
        <w:rPr>
          <w:rFonts w:hint="eastAsia" w:ascii="Times New Roman" w:hAnsi="Times New Roman" w:eastAsia="宋体" w:cs="Times New Roman"/>
          <w:sz w:val="24"/>
        </w:rPr>
        <w:t>National Mastitis Council</w:t>
      </w:r>
      <w:r>
        <w:rPr>
          <w:rFonts w:ascii="Times New Roman" w:hAnsi="Times New Roman" w:eastAsia="宋体" w:cs="Times New Roman"/>
          <w:sz w:val="24"/>
        </w:rPr>
        <w:t xml:space="preserve">. </w:t>
      </w:r>
      <w:r>
        <w:rPr>
          <w:rFonts w:hint="eastAsia" w:ascii="Times New Roman" w:hAnsi="Times New Roman" w:eastAsia="宋体" w:cs="Times New Roman"/>
          <w:sz w:val="24"/>
        </w:rPr>
        <w:t>National Mastitis Council Guidelines</w:t>
      </w:r>
      <w:r>
        <w:rPr>
          <w:rFonts w:ascii="Times New Roman" w:hAnsi="Times New Roman" w:eastAsia="宋体" w:cs="Times New Roman"/>
          <w:sz w:val="24"/>
        </w:rPr>
        <w:t>: Testing of Teat Disinfectants for Efficacy in Preventing Intramammary Infections, 2016.</w:t>
      </w:r>
    </w:p>
    <w:p w14:paraId="54FCDEC9">
      <w:pPr>
        <w:pStyle w:val="17"/>
        <w:numPr>
          <w:ilvl w:val="0"/>
          <w:numId w:val="1"/>
        </w:numPr>
        <w:adjustRightInd w:val="0"/>
        <w:snapToGrid w:val="0"/>
        <w:ind w:firstLineChars="0"/>
        <w:jc w:val="both"/>
        <w:rPr>
          <w:rFonts w:ascii="Times New Roman" w:hAnsi="Times New Roman" w:eastAsia="宋体" w:cs="Times New Roman"/>
          <w:sz w:val="24"/>
        </w:rPr>
      </w:pPr>
      <w:r>
        <w:rPr>
          <w:rFonts w:hint="eastAsia" w:ascii="Times New Roman" w:hAnsi="Times New Roman" w:eastAsia="宋体" w:cs="Times New Roman"/>
          <w:sz w:val="24"/>
        </w:rPr>
        <w:t>National Mastitis Council</w:t>
      </w:r>
      <w:r>
        <w:rPr>
          <w:rFonts w:ascii="Times New Roman" w:hAnsi="Times New Roman" w:eastAsia="宋体" w:cs="Times New Roman"/>
          <w:sz w:val="24"/>
        </w:rPr>
        <w:t xml:space="preserve">. </w:t>
      </w:r>
      <w:r>
        <w:rPr>
          <w:rFonts w:hint="eastAsia" w:ascii="Times New Roman" w:hAnsi="Times New Roman" w:eastAsia="宋体" w:cs="Times New Roman"/>
          <w:sz w:val="24"/>
        </w:rPr>
        <w:t>Guidelines for Evaluating Teat Skin Condition</w:t>
      </w:r>
      <w:r>
        <w:rPr>
          <w:rFonts w:ascii="Times New Roman" w:hAnsi="Times New Roman" w:eastAsia="宋体" w:cs="Times New Roman"/>
          <w:sz w:val="24"/>
        </w:rPr>
        <w:t>, 20</w:t>
      </w:r>
      <w:r>
        <w:rPr>
          <w:rFonts w:hint="eastAsia" w:ascii="Times New Roman" w:hAnsi="Times New Roman" w:eastAsia="宋体" w:cs="Times New Roman"/>
          <w:sz w:val="24"/>
        </w:rPr>
        <w:t>07</w:t>
      </w:r>
      <w:r>
        <w:rPr>
          <w:rFonts w:ascii="Times New Roman" w:hAnsi="Times New Roman" w:eastAsia="宋体" w:cs="Times New Roman"/>
          <w:sz w:val="24"/>
        </w:rPr>
        <w:t>.</w:t>
      </w:r>
    </w:p>
    <w:p w14:paraId="18A90678">
      <w:pPr>
        <w:pStyle w:val="17"/>
        <w:numPr>
          <w:ilvl w:val="0"/>
          <w:numId w:val="1"/>
        </w:numPr>
        <w:adjustRightInd w:val="0"/>
        <w:snapToGrid w:val="0"/>
        <w:ind w:firstLineChars="0"/>
        <w:jc w:val="both"/>
        <w:rPr>
          <w:rFonts w:ascii="Times New Roman" w:hAnsi="Times New Roman" w:eastAsia="宋体" w:cs="Times New Roman"/>
          <w:sz w:val="24"/>
        </w:rPr>
      </w:pPr>
      <w:r>
        <w:rPr>
          <w:rFonts w:hint="eastAsia" w:ascii="Times New Roman" w:hAnsi="Times New Roman" w:eastAsia="宋体" w:cs="Times New Roman"/>
          <w:sz w:val="24"/>
        </w:rPr>
        <w:t>Food and Drug Administration</w:t>
      </w:r>
      <w:r>
        <w:rPr>
          <w:rFonts w:ascii="Times New Roman" w:hAnsi="Times New Roman" w:eastAsia="宋体" w:cs="Times New Roman"/>
          <w:sz w:val="24"/>
        </w:rPr>
        <w:t>. Target Animal and Human Food Safety, Drug Efficacy, Environmental and Manufacturing Studies for Teat Antiseptic Products, 2021.</w:t>
      </w:r>
    </w:p>
    <w:p w14:paraId="5AD83EFD">
      <w:pPr>
        <w:pStyle w:val="17"/>
        <w:numPr>
          <w:ilvl w:val="0"/>
          <w:numId w:val="1"/>
        </w:numPr>
        <w:adjustRightInd w:val="0"/>
        <w:snapToGrid w:val="0"/>
        <w:ind w:firstLineChars="0"/>
        <w:jc w:val="both"/>
        <w:rPr>
          <w:color w:val="000000" w:themeColor="text1"/>
          <w14:textFill>
            <w14:solidFill>
              <w14:schemeClr w14:val="tx1"/>
            </w14:solidFill>
          </w14:textFill>
        </w:rPr>
      </w:pPr>
      <w:r>
        <w:rPr>
          <w:rFonts w:ascii="Times New Roman" w:hAnsi="Times New Roman" w:eastAsia="宋体" w:cs="Times New Roman"/>
          <w:sz w:val="24"/>
        </w:rPr>
        <w:t xml:space="preserve">Mein G A, </w:t>
      </w:r>
      <w:r>
        <w:rPr>
          <w:rFonts w:ascii="Times New Roman" w:hAnsi="Times New Roman" w:eastAsia="宋体" w:cs="Times New Roman"/>
          <w:i/>
          <w:iCs/>
          <w:sz w:val="24"/>
        </w:rPr>
        <w:t>et al</w:t>
      </w:r>
      <w:r>
        <w:rPr>
          <w:rFonts w:ascii="Times New Roman" w:hAnsi="Times New Roman" w:eastAsia="宋体" w:cs="Times New Roman"/>
          <w:sz w:val="24"/>
        </w:rPr>
        <w:t>. Evaluation of Bovine Teat Condition in Commercial Dairy Herds: 1. Non-Infectious Factors, 2001.</w:t>
      </w:r>
      <w:bookmarkStart w:id="5" w:name="_GoBack"/>
      <w:bookmarkEnd w:id="5"/>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5734687"/>
      <w:docPartObj>
        <w:docPartGallery w:val="AutoText"/>
      </w:docPartObj>
    </w:sdtPr>
    <w:sdtContent>
      <w:p w14:paraId="0782E76A">
        <w:pPr>
          <w:pStyle w:val="7"/>
          <w:jc w:val="center"/>
        </w:pPr>
        <w:r>
          <w:fldChar w:fldCharType="begin"/>
        </w:r>
        <w:r>
          <w:instrText xml:space="preserve">PAGE   \* MERGEFORMAT</w:instrText>
        </w:r>
        <w:r>
          <w:fldChar w:fldCharType="separate"/>
        </w:r>
        <w:r>
          <w:rPr>
            <w:lang w:val="zh-CN"/>
          </w:rPr>
          <w:t>2</w:t>
        </w:r>
        <w:r>
          <w:fldChar w:fldCharType="end"/>
        </w:r>
      </w:p>
    </w:sdtContent>
  </w:sdt>
  <w:p w14:paraId="504388C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52A29"/>
    <w:multiLevelType w:val="multilevel"/>
    <w:tmpl w:val="2D152A29"/>
    <w:lvl w:ilvl="0" w:tentative="0">
      <w:start w:val="1"/>
      <w:numFmt w:val="decimal"/>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B7"/>
    <w:rsid w:val="0000774A"/>
    <w:rsid w:val="00007D2E"/>
    <w:rsid w:val="000219F2"/>
    <w:rsid w:val="0002561A"/>
    <w:rsid w:val="00030D09"/>
    <w:rsid w:val="000320BD"/>
    <w:rsid w:val="00034A69"/>
    <w:rsid w:val="00043619"/>
    <w:rsid w:val="00051023"/>
    <w:rsid w:val="00055E19"/>
    <w:rsid w:val="00057005"/>
    <w:rsid w:val="00057A18"/>
    <w:rsid w:val="00066B45"/>
    <w:rsid w:val="00067E11"/>
    <w:rsid w:val="00070CB7"/>
    <w:rsid w:val="00092E0C"/>
    <w:rsid w:val="000945F4"/>
    <w:rsid w:val="00096ECB"/>
    <w:rsid w:val="000A3EE0"/>
    <w:rsid w:val="000B46C3"/>
    <w:rsid w:val="000D1812"/>
    <w:rsid w:val="000D77EE"/>
    <w:rsid w:val="000E0715"/>
    <w:rsid w:val="000F4BF0"/>
    <w:rsid w:val="0010236F"/>
    <w:rsid w:val="00115BF3"/>
    <w:rsid w:val="001209DE"/>
    <w:rsid w:val="00121FD0"/>
    <w:rsid w:val="00125026"/>
    <w:rsid w:val="00126ECE"/>
    <w:rsid w:val="00130AE4"/>
    <w:rsid w:val="00130DFA"/>
    <w:rsid w:val="00131CF3"/>
    <w:rsid w:val="0013327E"/>
    <w:rsid w:val="001411E6"/>
    <w:rsid w:val="0014215A"/>
    <w:rsid w:val="001437A1"/>
    <w:rsid w:val="00143BAC"/>
    <w:rsid w:val="001563FD"/>
    <w:rsid w:val="00156675"/>
    <w:rsid w:val="001611BB"/>
    <w:rsid w:val="00167A51"/>
    <w:rsid w:val="00172CE0"/>
    <w:rsid w:val="00172F69"/>
    <w:rsid w:val="001930FB"/>
    <w:rsid w:val="0019531A"/>
    <w:rsid w:val="00195C38"/>
    <w:rsid w:val="001A5350"/>
    <w:rsid w:val="001A6B22"/>
    <w:rsid w:val="001B109A"/>
    <w:rsid w:val="001B7489"/>
    <w:rsid w:val="001C032F"/>
    <w:rsid w:val="001C6505"/>
    <w:rsid w:val="001E60C1"/>
    <w:rsid w:val="001F75FE"/>
    <w:rsid w:val="00201A02"/>
    <w:rsid w:val="0020765D"/>
    <w:rsid w:val="0021151A"/>
    <w:rsid w:val="002156DA"/>
    <w:rsid w:val="00222DB1"/>
    <w:rsid w:val="00226C18"/>
    <w:rsid w:val="00227DC7"/>
    <w:rsid w:val="0024682E"/>
    <w:rsid w:val="002527E4"/>
    <w:rsid w:val="00265630"/>
    <w:rsid w:val="00273569"/>
    <w:rsid w:val="00286049"/>
    <w:rsid w:val="002B144C"/>
    <w:rsid w:val="002B3E61"/>
    <w:rsid w:val="002B746A"/>
    <w:rsid w:val="002D0AF5"/>
    <w:rsid w:val="002E765C"/>
    <w:rsid w:val="002F2BB1"/>
    <w:rsid w:val="003045AE"/>
    <w:rsid w:val="003077A4"/>
    <w:rsid w:val="003116E6"/>
    <w:rsid w:val="00324A2F"/>
    <w:rsid w:val="0032564D"/>
    <w:rsid w:val="003330B9"/>
    <w:rsid w:val="00337910"/>
    <w:rsid w:val="00344F07"/>
    <w:rsid w:val="00347195"/>
    <w:rsid w:val="00354596"/>
    <w:rsid w:val="00355552"/>
    <w:rsid w:val="00355ADB"/>
    <w:rsid w:val="00365541"/>
    <w:rsid w:val="00384C66"/>
    <w:rsid w:val="00385895"/>
    <w:rsid w:val="003C54A2"/>
    <w:rsid w:val="003C74CB"/>
    <w:rsid w:val="003E6839"/>
    <w:rsid w:val="003F1E2B"/>
    <w:rsid w:val="003F70E5"/>
    <w:rsid w:val="003F7E4F"/>
    <w:rsid w:val="00401FC9"/>
    <w:rsid w:val="004049D9"/>
    <w:rsid w:val="00406057"/>
    <w:rsid w:val="00411103"/>
    <w:rsid w:val="00411A2A"/>
    <w:rsid w:val="0041283F"/>
    <w:rsid w:val="0041544C"/>
    <w:rsid w:val="0042118D"/>
    <w:rsid w:val="00421CED"/>
    <w:rsid w:val="00427E4C"/>
    <w:rsid w:val="00437BDC"/>
    <w:rsid w:val="00441725"/>
    <w:rsid w:val="004443D2"/>
    <w:rsid w:val="004506D3"/>
    <w:rsid w:val="00460844"/>
    <w:rsid w:val="0046188E"/>
    <w:rsid w:val="00470245"/>
    <w:rsid w:val="00471570"/>
    <w:rsid w:val="00471DC8"/>
    <w:rsid w:val="004768A2"/>
    <w:rsid w:val="0048228F"/>
    <w:rsid w:val="00482782"/>
    <w:rsid w:val="004839A1"/>
    <w:rsid w:val="00491654"/>
    <w:rsid w:val="004959BB"/>
    <w:rsid w:val="004B0083"/>
    <w:rsid w:val="004B4314"/>
    <w:rsid w:val="004B72DA"/>
    <w:rsid w:val="004C20F4"/>
    <w:rsid w:val="004C2869"/>
    <w:rsid w:val="004E1884"/>
    <w:rsid w:val="004E71B5"/>
    <w:rsid w:val="005055D3"/>
    <w:rsid w:val="00516BDB"/>
    <w:rsid w:val="00517337"/>
    <w:rsid w:val="00527229"/>
    <w:rsid w:val="005333DB"/>
    <w:rsid w:val="00537246"/>
    <w:rsid w:val="00542217"/>
    <w:rsid w:val="005464E8"/>
    <w:rsid w:val="00551849"/>
    <w:rsid w:val="00551A86"/>
    <w:rsid w:val="00557A8B"/>
    <w:rsid w:val="005609A9"/>
    <w:rsid w:val="005619CE"/>
    <w:rsid w:val="00567BD4"/>
    <w:rsid w:val="005744D0"/>
    <w:rsid w:val="00595F39"/>
    <w:rsid w:val="005963C3"/>
    <w:rsid w:val="005A25DA"/>
    <w:rsid w:val="005A6DB2"/>
    <w:rsid w:val="005B1EE9"/>
    <w:rsid w:val="005B2C49"/>
    <w:rsid w:val="005B36EC"/>
    <w:rsid w:val="005B4554"/>
    <w:rsid w:val="005B462E"/>
    <w:rsid w:val="005B7D5A"/>
    <w:rsid w:val="005C0AC9"/>
    <w:rsid w:val="005C194B"/>
    <w:rsid w:val="005D2DFE"/>
    <w:rsid w:val="005D4061"/>
    <w:rsid w:val="005D437E"/>
    <w:rsid w:val="005D46A3"/>
    <w:rsid w:val="005F06F9"/>
    <w:rsid w:val="005F5207"/>
    <w:rsid w:val="005F610B"/>
    <w:rsid w:val="00623394"/>
    <w:rsid w:val="0062407D"/>
    <w:rsid w:val="00631AF9"/>
    <w:rsid w:val="00632FF4"/>
    <w:rsid w:val="00643AB2"/>
    <w:rsid w:val="006467F6"/>
    <w:rsid w:val="00656AFA"/>
    <w:rsid w:val="00660F11"/>
    <w:rsid w:val="00661712"/>
    <w:rsid w:val="006732B4"/>
    <w:rsid w:val="0067556A"/>
    <w:rsid w:val="00676B69"/>
    <w:rsid w:val="006771F7"/>
    <w:rsid w:val="00690914"/>
    <w:rsid w:val="00692C4A"/>
    <w:rsid w:val="00693FC8"/>
    <w:rsid w:val="0069472D"/>
    <w:rsid w:val="006A5CF5"/>
    <w:rsid w:val="006A63EB"/>
    <w:rsid w:val="006A7675"/>
    <w:rsid w:val="006B20EB"/>
    <w:rsid w:val="006C3071"/>
    <w:rsid w:val="006C7998"/>
    <w:rsid w:val="006E73AF"/>
    <w:rsid w:val="006F4CB9"/>
    <w:rsid w:val="006F7040"/>
    <w:rsid w:val="00700D04"/>
    <w:rsid w:val="00702153"/>
    <w:rsid w:val="00720B6D"/>
    <w:rsid w:val="00721224"/>
    <w:rsid w:val="007219DA"/>
    <w:rsid w:val="00727877"/>
    <w:rsid w:val="00732E97"/>
    <w:rsid w:val="00735172"/>
    <w:rsid w:val="007401F2"/>
    <w:rsid w:val="00744671"/>
    <w:rsid w:val="00745018"/>
    <w:rsid w:val="00746E7E"/>
    <w:rsid w:val="0075277C"/>
    <w:rsid w:val="007641B3"/>
    <w:rsid w:val="00770844"/>
    <w:rsid w:val="00773023"/>
    <w:rsid w:val="007864E6"/>
    <w:rsid w:val="00796F3C"/>
    <w:rsid w:val="007A7393"/>
    <w:rsid w:val="007B79D0"/>
    <w:rsid w:val="007C2659"/>
    <w:rsid w:val="007E5B02"/>
    <w:rsid w:val="007E6958"/>
    <w:rsid w:val="007F7007"/>
    <w:rsid w:val="0080407B"/>
    <w:rsid w:val="00830524"/>
    <w:rsid w:val="00830C6B"/>
    <w:rsid w:val="00832BA8"/>
    <w:rsid w:val="00832D94"/>
    <w:rsid w:val="0084136A"/>
    <w:rsid w:val="00846EB9"/>
    <w:rsid w:val="008476E7"/>
    <w:rsid w:val="0085076F"/>
    <w:rsid w:val="00850A53"/>
    <w:rsid w:val="0085466F"/>
    <w:rsid w:val="0086104B"/>
    <w:rsid w:val="00874711"/>
    <w:rsid w:val="00877BFA"/>
    <w:rsid w:val="008817B6"/>
    <w:rsid w:val="008839F6"/>
    <w:rsid w:val="00885295"/>
    <w:rsid w:val="00885F2A"/>
    <w:rsid w:val="008913B2"/>
    <w:rsid w:val="00892628"/>
    <w:rsid w:val="008932CE"/>
    <w:rsid w:val="00894705"/>
    <w:rsid w:val="008A0C5B"/>
    <w:rsid w:val="008A5454"/>
    <w:rsid w:val="008B61D1"/>
    <w:rsid w:val="008C58DD"/>
    <w:rsid w:val="008C60E3"/>
    <w:rsid w:val="008C755A"/>
    <w:rsid w:val="008D430D"/>
    <w:rsid w:val="008E7DD6"/>
    <w:rsid w:val="009118A1"/>
    <w:rsid w:val="00915251"/>
    <w:rsid w:val="00932837"/>
    <w:rsid w:val="00941D77"/>
    <w:rsid w:val="009437F2"/>
    <w:rsid w:val="0094516D"/>
    <w:rsid w:val="0094593F"/>
    <w:rsid w:val="009473D9"/>
    <w:rsid w:val="00955B62"/>
    <w:rsid w:val="0096086C"/>
    <w:rsid w:val="009674DA"/>
    <w:rsid w:val="00971ADB"/>
    <w:rsid w:val="00984FF7"/>
    <w:rsid w:val="00985F85"/>
    <w:rsid w:val="0099510E"/>
    <w:rsid w:val="0099700E"/>
    <w:rsid w:val="009A12DA"/>
    <w:rsid w:val="009B187E"/>
    <w:rsid w:val="009B5404"/>
    <w:rsid w:val="009B5621"/>
    <w:rsid w:val="009C0523"/>
    <w:rsid w:val="009C7F30"/>
    <w:rsid w:val="009E2BC7"/>
    <w:rsid w:val="009E4109"/>
    <w:rsid w:val="009E60C7"/>
    <w:rsid w:val="009F4B6C"/>
    <w:rsid w:val="00A01019"/>
    <w:rsid w:val="00A10B58"/>
    <w:rsid w:val="00A12338"/>
    <w:rsid w:val="00A14A5A"/>
    <w:rsid w:val="00A20AB4"/>
    <w:rsid w:val="00A23534"/>
    <w:rsid w:val="00A258CD"/>
    <w:rsid w:val="00A30C9E"/>
    <w:rsid w:val="00A338BF"/>
    <w:rsid w:val="00A3436C"/>
    <w:rsid w:val="00A3445F"/>
    <w:rsid w:val="00A34E2C"/>
    <w:rsid w:val="00A358BC"/>
    <w:rsid w:val="00A41428"/>
    <w:rsid w:val="00A52D1C"/>
    <w:rsid w:val="00A552CB"/>
    <w:rsid w:val="00A60EAD"/>
    <w:rsid w:val="00A618BA"/>
    <w:rsid w:val="00A61A5B"/>
    <w:rsid w:val="00A61AF4"/>
    <w:rsid w:val="00A752D2"/>
    <w:rsid w:val="00A85B70"/>
    <w:rsid w:val="00A87964"/>
    <w:rsid w:val="00A907E4"/>
    <w:rsid w:val="00A930AE"/>
    <w:rsid w:val="00AA4745"/>
    <w:rsid w:val="00AA5E7F"/>
    <w:rsid w:val="00AB7F29"/>
    <w:rsid w:val="00AC6F12"/>
    <w:rsid w:val="00AD07A1"/>
    <w:rsid w:val="00AD47B2"/>
    <w:rsid w:val="00AE3060"/>
    <w:rsid w:val="00AE6555"/>
    <w:rsid w:val="00AF11BF"/>
    <w:rsid w:val="00AF4B95"/>
    <w:rsid w:val="00B026A6"/>
    <w:rsid w:val="00B0313B"/>
    <w:rsid w:val="00B0387A"/>
    <w:rsid w:val="00B063D9"/>
    <w:rsid w:val="00B160B8"/>
    <w:rsid w:val="00B160EF"/>
    <w:rsid w:val="00B34D3A"/>
    <w:rsid w:val="00B36608"/>
    <w:rsid w:val="00B36A0A"/>
    <w:rsid w:val="00B37C43"/>
    <w:rsid w:val="00B47F31"/>
    <w:rsid w:val="00B74064"/>
    <w:rsid w:val="00B777D3"/>
    <w:rsid w:val="00B81F16"/>
    <w:rsid w:val="00B967E2"/>
    <w:rsid w:val="00BA41F2"/>
    <w:rsid w:val="00BA5C70"/>
    <w:rsid w:val="00BA7487"/>
    <w:rsid w:val="00BB667E"/>
    <w:rsid w:val="00BC60AE"/>
    <w:rsid w:val="00BD00B1"/>
    <w:rsid w:val="00BD302A"/>
    <w:rsid w:val="00BE38E3"/>
    <w:rsid w:val="00BE517C"/>
    <w:rsid w:val="00BE718C"/>
    <w:rsid w:val="00BF38CA"/>
    <w:rsid w:val="00BF6BD8"/>
    <w:rsid w:val="00C0014F"/>
    <w:rsid w:val="00C0499E"/>
    <w:rsid w:val="00C053B7"/>
    <w:rsid w:val="00C100F6"/>
    <w:rsid w:val="00C175B2"/>
    <w:rsid w:val="00C22DC4"/>
    <w:rsid w:val="00C25A14"/>
    <w:rsid w:val="00C33B8E"/>
    <w:rsid w:val="00C44315"/>
    <w:rsid w:val="00C45899"/>
    <w:rsid w:val="00C45F7F"/>
    <w:rsid w:val="00C476D0"/>
    <w:rsid w:val="00C51DC9"/>
    <w:rsid w:val="00C52A85"/>
    <w:rsid w:val="00C609BC"/>
    <w:rsid w:val="00C619BB"/>
    <w:rsid w:val="00C64A2C"/>
    <w:rsid w:val="00C65326"/>
    <w:rsid w:val="00C654BB"/>
    <w:rsid w:val="00C71ECA"/>
    <w:rsid w:val="00C71F24"/>
    <w:rsid w:val="00C978FC"/>
    <w:rsid w:val="00CA21A5"/>
    <w:rsid w:val="00CA2DE8"/>
    <w:rsid w:val="00CB0050"/>
    <w:rsid w:val="00CB11AC"/>
    <w:rsid w:val="00CB5A1C"/>
    <w:rsid w:val="00CC2D15"/>
    <w:rsid w:val="00CE04EB"/>
    <w:rsid w:val="00D0325A"/>
    <w:rsid w:val="00D04612"/>
    <w:rsid w:val="00D13617"/>
    <w:rsid w:val="00D162A4"/>
    <w:rsid w:val="00D21E79"/>
    <w:rsid w:val="00D273AE"/>
    <w:rsid w:val="00D27C50"/>
    <w:rsid w:val="00D35A29"/>
    <w:rsid w:val="00D4162B"/>
    <w:rsid w:val="00D44E6B"/>
    <w:rsid w:val="00D52F95"/>
    <w:rsid w:val="00D60522"/>
    <w:rsid w:val="00D6471F"/>
    <w:rsid w:val="00D65189"/>
    <w:rsid w:val="00D71122"/>
    <w:rsid w:val="00D76A12"/>
    <w:rsid w:val="00D807AA"/>
    <w:rsid w:val="00D91AD7"/>
    <w:rsid w:val="00D91C58"/>
    <w:rsid w:val="00D93182"/>
    <w:rsid w:val="00D963A2"/>
    <w:rsid w:val="00DB3E8D"/>
    <w:rsid w:val="00DB523A"/>
    <w:rsid w:val="00DC06D7"/>
    <w:rsid w:val="00DC06DA"/>
    <w:rsid w:val="00DC216F"/>
    <w:rsid w:val="00DC2205"/>
    <w:rsid w:val="00DC5289"/>
    <w:rsid w:val="00DC75E3"/>
    <w:rsid w:val="00DC79C5"/>
    <w:rsid w:val="00DD0617"/>
    <w:rsid w:val="00DD075E"/>
    <w:rsid w:val="00DD2C9F"/>
    <w:rsid w:val="00DD541C"/>
    <w:rsid w:val="00DE49AA"/>
    <w:rsid w:val="00DE5E6D"/>
    <w:rsid w:val="00DE639A"/>
    <w:rsid w:val="00DF432F"/>
    <w:rsid w:val="00DF5FE1"/>
    <w:rsid w:val="00E0687C"/>
    <w:rsid w:val="00E12D31"/>
    <w:rsid w:val="00E13C1D"/>
    <w:rsid w:val="00E15CBC"/>
    <w:rsid w:val="00E1637A"/>
    <w:rsid w:val="00E36A02"/>
    <w:rsid w:val="00E408C0"/>
    <w:rsid w:val="00E50AB8"/>
    <w:rsid w:val="00E5295D"/>
    <w:rsid w:val="00E5322D"/>
    <w:rsid w:val="00E53324"/>
    <w:rsid w:val="00E558B2"/>
    <w:rsid w:val="00E560CB"/>
    <w:rsid w:val="00E60B82"/>
    <w:rsid w:val="00E61481"/>
    <w:rsid w:val="00E624D5"/>
    <w:rsid w:val="00E639D3"/>
    <w:rsid w:val="00E63CB6"/>
    <w:rsid w:val="00E66C49"/>
    <w:rsid w:val="00E72811"/>
    <w:rsid w:val="00E91A00"/>
    <w:rsid w:val="00E9741C"/>
    <w:rsid w:val="00EA4816"/>
    <w:rsid w:val="00EA4E74"/>
    <w:rsid w:val="00EA61C2"/>
    <w:rsid w:val="00EB04FA"/>
    <w:rsid w:val="00EC1B16"/>
    <w:rsid w:val="00EC328A"/>
    <w:rsid w:val="00EC5E16"/>
    <w:rsid w:val="00EE04CD"/>
    <w:rsid w:val="00EE53A3"/>
    <w:rsid w:val="00EF025A"/>
    <w:rsid w:val="00EF0FD7"/>
    <w:rsid w:val="00EF37AE"/>
    <w:rsid w:val="00EF58DE"/>
    <w:rsid w:val="00F07C47"/>
    <w:rsid w:val="00F12882"/>
    <w:rsid w:val="00F17FB7"/>
    <w:rsid w:val="00F30147"/>
    <w:rsid w:val="00F357A1"/>
    <w:rsid w:val="00F43D96"/>
    <w:rsid w:val="00F51BD8"/>
    <w:rsid w:val="00F55A78"/>
    <w:rsid w:val="00F56877"/>
    <w:rsid w:val="00F5747A"/>
    <w:rsid w:val="00F60224"/>
    <w:rsid w:val="00F63CE1"/>
    <w:rsid w:val="00F72D88"/>
    <w:rsid w:val="00F92EA0"/>
    <w:rsid w:val="00FB79D5"/>
    <w:rsid w:val="00FB7EB3"/>
    <w:rsid w:val="00FC0381"/>
    <w:rsid w:val="00FC3992"/>
    <w:rsid w:val="00FE75A8"/>
    <w:rsid w:val="1AED4F57"/>
    <w:rsid w:val="3FCF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9"/>
    <w:pPr>
      <w:keepNext/>
      <w:keepLines/>
      <w:spacing w:after="120" w:line="415" w:lineRule="auto"/>
      <w:outlineLvl w:val="1"/>
    </w:pPr>
    <w:rPr>
      <w:rFonts w:ascii="Arial" w:hAnsi="Arial" w:eastAsia="宋体" w:cs="Times New Roman"/>
      <w:b/>
      <w:bCs/>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unhideWhenUsed/>
    <w:qFormat/>
    <w:uiPriority w:val="99"/>
  </w:style>
  <w:style w:type="paragraph" w:styleId="6">
    <w:name w:val="Balloon Text"/>
    <w:basedOn w:val="1"/>
    <w:link w:val="25"/>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line="240" w:lineRule="auto"/>
    </w:pPr>
    <w:rPr>
      <w:rFonts w:ascii="宋体" w:hAnsi="宋体" w:eastAsia="宋体" w:cs="宋体"/>
      <w:kern w:val="0"/>
      <w:sz w:val="24"/>
    </w:rPr>
  </w:style>
  <w:style w:type="paragraph" w:styleId="10">
    <w:name w:val="annotation subject"/>
    <w:basedOn w:val="5"/>
    <w:next w:val="5"/>
    <w:link w:val="27"/>
    <w:semiHidden/>
    <w:unhideWhenUsed/>
    <w:qFormat/>
    <w:uiPriority w:val="99"/>
    <w:rPr>
      <w:b/>
      <w:bCs/>
    </w:rPr>
  </w:style>
  <w:style w:type="table" w:styleId="12">
    <w:name w:val="Table Grid"/>
    <w:basedOn w:val="11"/>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table" w:customStyle="1" w:styleId="16">
    <w:name w:val="Table Normal1"/>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7">
    <w:name w:val="List Paragraph"/>
    <w:basedOn w:val="1"/>
    <w:qFormat/>
    <w:uiPriority w:val="99"/>
    <w:pPr>
      <w:ind w:firstLine="420" w:firstLineChars="200"/>
    </w:pPr>
  </w:style>
  <w:style w:type="character" w:customStyle="1" w:styleId="18">
    <w:name w:val="页眉 字符"/>
    <w:basedOn w:val="13"/>
    <w:link w:val="8"/>
    <w:qFormat/>
    <w:uiPriority w:val="99"/>
    <w:rPr>
      <w:sz w:val="18"/>
      <w:szCs w:val="18"/>
    </w:rPr>
  </w:style>
  <w:style w:type="character" w:customStyle="1" w:styleId="19">
    <w:name w:val="页脚 字符"/>
    <w:basedOn w:val="13"/>
    <w:link w:val="7"/>
    <w:qFormat/>
    <w:uiPriority w:val="99"/>
    <w:rPr>
      <w:sz w:val="18"/>
      <w:szCs w:val="18"/>
    </w:rPr>
  </w:style>
  <w:style w:type="paragraph" w:customStyle="1" w:styleId="20">
    <w:name w:val="Revision"/>
    <w:hidden/>
    <w:semiHidden/>
    <w:qFormat/>
    <w:uiPriority w:val="99"/>
    <w:pPr>
      <w:spacing w:line="360" w:lineRule="auto"/>
    </w:pPr>
    <w:rPr>
      <w:rFonts w:asciiTheme="minorHAnsi" w:hAnsiTheme="minorHAnsi" w:eastAsiaTheme="minorEastAsia" w:cstheme="minorBidi"/>
      <w:kern w:val="2"/>
      <w:sz w:val="21"/>
      <w:szCs w:val="24"/>
      <w:lang w:val="en-US" w:eastAsia="zh-CN" w:bidi="ar-SA"/>
    </w:rPr>
  </w:style>
  <w:style w:type="character" w:customStyle="1" w:styleId="21">
    <w:name w:val="标题 1 字符"/>
    <w:basedOn w:val="13"/>
    <w:link w:val="2"/>
    <w:qFormat/>
    <w:uiPriority w:val="9"/>
    <w:rPr>
      <w:b/>
      <w:bCs/>
      <w:kern w:val="44"/>
      <w:sz w:val="44"/>
      <w:szCs w:val="44"/>
    </w:rPr>
  </w:style>
  <w:style w:type="character" w:customStyle="1" w:styleId="22">
    <w:name w:val="标题 2 字符"/>
    <w:basedOn w:val="13"/>
    <w:link w:val="3"/>
    <w:qFormat/>
    <w:uiPriority w:val="9"/>
    <w:rPr>
      <w:rFonts w:ascii="Arial" w:hAnsi="Arial" w:eastAsia="宋体" w:cs="Times New Roman"/>
      <w:b/>
      <w:bCs/>
      <w:szCs w:val="32"/>
    </w:rPr>
  </w:style>
  <w:style w:type="character" w:customStyle="1" w:styleId="23">
    <w:name w:val="标题 3 字符"/>
    <w:basedOn w:val="13"/>
    <w:link w:val="4"/>
    <w:semiHidden/>
    <w:qFormat/>
    <w:uiPriority w:val="9"/>
    <w:rPr>
      <w:b/>
      <w:bCs/>
      <w:sz w:val="32"/>
      <w:szCs w:val="32"/>
    </w:rPr>
  </w:style>
  <w:style w:type="character" w:styleId="24">
    <w:name w:val="Placeholder Text"/>
    <w:basedOn w:val="13"/>
    <w:semiHidden/>
    <w:qFormat/>
    <w:uiPriority w:val="99"/>
    <w:rPr>
      <w:color w:val="666666"/>
    </w:rPr>
  </w:style>
  <w:style w:type="character" w:customStyle="1" w:styleId="25">
    <w:name w:val="批注框文本 字符"/>
    <w:basedOn w:val="13"/>
    <w:link w:val="6"/>
    <w:semiHidden/>
    <w:qFormat/>
    <w:uiPriority w:val="99"/>
    <w:rPr>
      <w:sz w:val="18"/>
      <w:szCs w:val="18"/>
    </w:rPr>
  </w:style>
  <w:style w:type="character" w:customStyle="1" w:styleId="26">
    <w:name w:val="批注文字 字符"/>
    <w:basedOn w:val="13"/>
    <w:link w:val="5"/>
    <w:qFormat/>
    <w:uiPriority w:val="99"/>
  </w:style>
  <w:style w:type="character" w:customStyle="1" w:styleId="27">
    <w:name w:val="批注主题 字符"/>
    <w:basedOn w:val="26"/>
    <w:link w:val="10"/>
    <w:semiHidden/>
    <w:qFormat/>
    <w:uiPriority w:val="99"/>
    <w:rPr>
      <w:b/>
      <w:bCs/>
    </w:rPr>
  </w:style>
  <w:style w:type="character" w:customStyle="1" w:styleId="28">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7EA69-BEB7-4242-8899-71252B5703CE}">
  <ds:schemaRefs/>
</ds:datastoreItem>
</file>

<file path=docProps/app.xml><?xml version="1.0" encoding="utf-8"?>
<Properties xmlns="http://schemas.openxmlformats.org/officeDocument/2006/extended-properties" xmlns:vt="http://schemas.openxmlformats.org/officeDocument/2006/docPropsVTypes">
  <Template>Normal</Template>
  <Pages>5</Pages>
  <Words>1862</Words>
  <Characters>1894</Characters>
  <Lines>22</Lines>
  <Paragraphs>6</Paragraphs>
  <TotalTime>7</TotalTime>
  <ScaleCrop>false</ScaleCrop>
  <LinksUpToDate>false</LinksUpToDate>
  <CharactersWithSpaces>1896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2025-02-26T02:25:00Z</dcterms:created>
  <dc:creator>jingyue Yang</dc:creator>
  <cp:lastModifiedBy>梁先明</cp:lastModifiedBy>
  <cp:lastPrinted>2024-12-03T02:30:00Z</cp:lastPrinted>
  <dcterms:modified xsi:type="dcterms:W3CDTF">2025-04-25T06:45:00Z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eyJoZGlkIjoiYzc4NWM0YTM5ODQ0NDczMDIxMzYyODRhYzU4ZjBlMjcifQ==</vt:lpwstr>
  </property>
  <property fmtid="{D5CDD505-2E9C-101B-9397-08002B2CF9AE}" pid="3" name="KSOProductBuildVer">
    <vt:lpwstr>2052-12.1.0.20784</vt:lpwstr>
  </property>
  <property fmtid="{D5CDD505-2E9C-101B-9397-08002B2CF9AE}" pid="4" name="ICV">
    <vt:lpwstr>BF5C3BA642304A5BA6CC400495A71122_12</vt:lpwstr>
  </property>
</Properties>
</file>