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6129" w14:textId="77777777" w:rsidR="00354780" w:rsidRPr="0065703D" w:rsidRDefault="00354780" w:rsidP="00354780">
      <w:pPr>
        <w:autoSpaceDE w:val="0"/>
        <w:autoSpaceDN w:val="0"/>
        <w:adjustRightInd w:val="0"/>
        <w:snapToGrid w:val="0"/>
        <w:spacing w:line="360" w:lineRule="auto"/>
        <w:jc w:val="center"/>
        <w:rPr>
          <w:rFonts w:ascii="方正小标宋简体" w:eastAsia="方正小标宋简体"/>
          <w:noProof/>
          <w:kern w:val="0"/>
          <w:sz w:val="44"/>
          <w:szCs w:val="44"/>
        </w:rPr>
      </w:pPr>
      <w:bookmarkStart w:id="0" w:name="_Hlk183360579"/>
      <w:r w:rsidRPr="0065703D">
        <w:rPr>
          <w:rFonts w:ascii="方正小标宋简体" w:eastAsia="方正小标宋简体" w:hint="eastAsia"/>
          <w:noProof/>
          <w:kern w:val="0"/>
          <w:sz w:val="44"/>
          <w:szCs w:val="44"/>
        </w:rPr>
        <w:t>兽药遗传毒性试验追加研究技术指导原则</w:t>
      </w:r>
    </w:p>
    <w:bookmarkEnd w:id="0"/>
    <w:p w14:paraId="168632E5" w14:textId="77777777" w:rsidR="00354780" w:rsidRPr="00A279F5" w:rsidRDefault="00354780" w:rsidP="00354780">
      <w:pPr>
        <w:autoSpaceDE w:val="0"/>
        <w:autoSpaceDN w:val="0"/>
        <w:adjustRightInd w:val="0"/>
        <w:snapToGrid w:val="0"/>
        <w:spacing w:line="360" w:lineRule="auto"/>
        <w:ind w:firstLineChars="200" w:firstLine="560"/>
        <w:jc w:val="both"/>
        <w:rPr>
          <w:rFonts w:eastAsia="黑体"/>
          <w:noProof/>
          <w:kern w:val="0"/>
          <w:sz w:val="28"/>
          <w:szCs w:val="28"/>
        </w:rPr>
      </w:pPr>
      <w:r w:rsidRPr="00A279F5">
        <w:rPr>
          <w:rFonts w:eastAsia="黑体" w:hint="eastAsia"/>
          <w:noProof/>
          <w:kern w:val="0"/>
          <w:sz w:val="28"/>
          <w:szCs w:val="28"/>
        </w:rPr>
        <w:t>一、概述</w:t>
      </w:r>
    </w:p>
    <w:p w14:paraId="355B3C3B" w14:textId="495C36B4" w:rsidR="00354780" w:rsidRPr="005740E6" w:rsidRDefault="00354780" w:rsidP="00354780">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（一）目的</w:t>
      </w:r>
    </w:p>
    <w:p w14:paraId="08227064" w14:textId="529E452E" w:rsidR="00354780" w:rsidRPr="00A279F5" w:rsidRDefault="00354780" w:rsidP="00354780">
      <w:pPr>
        <w:adjustRightInd w:val="0"/>
        <w:snapToGrid w:val="0"/>
        <w:spacing w:line="360" w:lineRule="auto"/>
        <w:ind w:firstLineChars="200" w:firstLine="480"/>
        <w:jc w:val="both"/>
        <w:rPr>
          <w:rFonts w:hAnsi="宋体" w:hint="eastAsia"/>
          <w:sz w:val="24"/>
        </w:rPr>
      </w:pPr>
      <w:r w:rsidRPr="00A279F5">
        <w:rPr>
          <w:rFonts w:hAnsi="宋体" w:hint="eastAsia"/>
          <w:sz w:val="24"/>
        </w:rPr>
        <w:t>遗传毒性研究（</w:t>
      </w:r>
      <w:r w:rsidRPr="00A279F5">
        <w:rPr>
          <w:rFonts w:hAnsi="宋体" w:hint="eastAsia"/>
          <w:sz w:val="24"/>
        </w:rPr>
        <w:t>Genotoxicity Study</w:t>
      </w:r>
      <w:r w:rsidRPr="00A279F5">
        <w:rPr>
          <w:rFonts w:hAnsi="宋体" w:hint="eastAsia"/>
          <w:sz w:val="24"/>
        </w:rPr>
        <w:t>）是</w:t>
      </w:r>
      <w:proofErr w:type="gramStart"/>
      <w:r w:rsidRPr="00A279F5">
        <w:rPr>
          <w:rFonts w:hAnsi="宋体" w:hint="eastAsia"/>
          <w:sz w:val="24"/>
        </w:rPr>
        <w:t>兽药非</w:t>
      </w:r>
      <w:proofErr w:type="gramEnd"/>
      <w:r w:rsidRPr="00A279F5">
        <w:rPr>
          <w:rFonts w:hAnsi="宋体" w:hint="eastAsia"/>
          <w:sz w:val="24"/>
        </w:rPr>
        <w:t>临床毒理学评价的重要内容，应根据</w:t>
      </w:r>
      <w:r w:rsidR="00DE3281">
        <w:rPr>
          <w:rFonts w:hAnsi="宋体" w:hint="eastAsia"/>
          <w:sz w:val="24"/>
        </w:rPr>
        <w:t>受试物</w:t>
      </w:r>
      <w:r w:rsidRPr="00A279F5">
        <w:rPr>
          <w:rFonts w:hAnsi="宋体" w:hint="eastAsia"/>
          <w:sz w:val="24"/>
        </w:rPr>
        <w:t>的结构特点、理化性质、已有的药理毒理研究信息等选择合理的试验方法，设计适宜的试验方案，在评价</w:t>
      </w:r>
      <w:r w:rsidR="00DE3281">
        <w:rPr>
          <w:rFonts w:hAnsi="宋体" w:hint="eastAsia"/>
          <w:sz w:val="24"/>
        </w:rPr>
        <w:t>受试物</w:t>
      </w:r>
      <w:r w:rsidRPr="00A279F5">
        <w:rPr>
          <w:rFonts w:hAnsi="宋体" w:hint="eastAsia"/>
          <w:sz w:val="24"/>
        </w:rPr>
        <w:t>的潜在遗传毒性时，应考虑到体内和体外试验方法的内在价值及其局限性，并应结合</w:t>
      </w:r>
      <w:r w:rsidR="00DE3281">
        <w:rPr>
          <w:rFonts w:hAnsi="宋体" w:hint="eastAsia"/>
          <w:sz w:val="24"/>
        </w:rPr>
        <w:t>受试物</w:t>
      </w:r>
      <w:r w:rsidRPr="00A279F5">
        <w:rPr>
          <w:rFonts w:hAnsi="宋体" w:hint="eastAsia"/>
          <w:sz w:val="24"/>
        </w:rPr>
        <w:t>的药学特点、药效学、药代动力学和其他毒理学研究结果等信息对试验结果进行综合分析与评价，其他可用信息（如已发表的文献报道）也可作为证据权重分析的一部分。</w:t>
      </w:r>
    </w:p>
    <w:p w14:paraId="2C3E4E59" w14:textId="77777777" w:rsidR="00354780" w:rsidRPr="00A279F5" w:rsidRDefault="00354780" w:rsidP="00354780">
      <w:pPr>
        <w:adjustRightInd w:val="0"/>
        <w:snapToGrid w:val="0"/>
        <w:spacing w:line="360" w:lineRule="auto"/>
        <w:ind w:firstLineChars="200" w:firstLine="480"/>
        <w:jc w:val="both"/>
        <w:rPr>
          <w:rFonts w:hAnsi="宋体" w:hint="eastAsia"/>
          <w:sz w:val="24"/>
        </w:rPr>
      </w:pPr>
      <w:r w:rsidRPr="00A279F5">
        <w:rPr>
          <w:rFonts w:hAnsi="宋体" w:hint="eastAsia"/>
          <w:sz w:val="24"/>
        </w:rPr>
        <w:t>本指导原则重点阐述对遗传毒性试验结果的追加研究策略。</w:t>
      </w:r>
    </w:p>
    <w:p w14:paraId="6D5071A3" w14:textId="77777777" w:rsidR="00354780" w:rsidRPr="005740E6" w:rsidRDefault="00354780" w:rsidP="00354780">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（二）适用范围</w:t>
      </w:r>
    </w:p>
    <w:p w14:paraId="0C930B62" w14:textId="1CD0DACB" w:rsidR="00354780" w:rsidRPr="00A279F5" w:rsidRDefault="00A74C06" w:rsidP="0082108F">
      <w:pPr>
        <w:autoSpaceDE w:val="0"/>
        <w:autoSpaceDN w:val="0"/>
        <w:adjustRightInd w:val="0"/>
        <w:snapToGrid w:val="0"/>
        <w:spacing w:line="360" w:lineRule="auto"/>
        <w:ind w:leftChars="200" w:left="420"/>
        <w:jc w:val="both"/>
        <w:rPr>
          <w:rFonts w:eastAsia="黑体"/>
          <w:noProof/>
          <w:kern w:val="0"/>
          <w:sz w:val="28"/>
          <w:szCs w:val="28"/>
        </w:rPr>
      </w:pPr>
      <w:r w:rsidRPr="00F817C6">
        <w:rPr>
          <w:rFonts w:hint="eastAsia"/>
          <w:kern w:val="0"/>
          <w:sz w:val="24"/>
        </w:rPr>
        <w:t>本指导原则适用于兽用化学药物、兽用中药和兽用天然药物。消毒剂参考使用</w:t>
      </w:r>
      <w:r w:rsidR="00561113">
        <w:rPr>
          <w:rFonts w:hint="eastAsia"/>
          <w:kern w:val="0"/>
          <w:sz w:val="24"/>
        </w:rPr>
        <w:t>。</w:t>
      </w:r>
      <w:r w:rsidR="00354780" w:rsidRPr="00A279F5">
        <w:rPr>
          <w:rFonts w:eastAsia="黑体" w:hint="eastAsia"/>
          <w:noProof/>
          <w:kern w:val="0"/>
          <w:sz w:val="28"/>
          <w:szCs w:val="28"/>
        </w:rPr>
        <w:t>二、</w:t>
      </w:r>
      <w:bookmarkStart w:id="1" w:name="_Hlk183361206"/>
      <w:r w:rsidR="00354780" w:rsidRPr="00A279F5">
        <w:rPr>
          <w:rFonts w:eastAsia="黑体" w:hint="eastAsia"/>
          <w:noProof/>
          <w:kern w:val="0"/>
          <w:sz w:val="28"/>
          <w:szCs w:val="28"/>
        </w:rPr>
        <w:t>追加研究策略</w:t>
      </w:r>
      <w:bookmarkEnd w:id="1"/>
    </w:p>
    <w:p w14:paraId="002862E8" w14:textId="77777777" w:rsidR="00354780" w:rsidRPr="005740E6" w:rsidRDefault="00354780" w:rsidP="00354780">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（一）</w:t>
      </w:r>
      <w:bookmarkStart w:id="2" w:name="_Hlk183360644"/>
      <w:r w:rsidRPr="005740E6">
        <w:rPr>
          <w:rFonts w:eastAsia="黑体" w:hint="eastAsia"/>
          <w:noProof/>
          <w:kern w:val="0"/>
          <w:sz w:val="24"/>
        </w:rPr>
        <w:t>对体外试验结果的追加</w:t>
      </w:r>
      <w:bookmarkEnd w:id="2"/>
    </w:p>
    <w:p w14:paraId="28670984" w14:textId="77777777" w:rsidR="00354780" w:rsidRPr="00A279F5" w:rsidRDefault="00354780" w:rsidP="00354780">
      <w:pPr>
        <w:adjustRightInd w:val="0"/>
        <w:snapToGrid w:val="0"/>
        <w:spacing w:line="360" w:lineRule="auto"/>
        <w:ind w:firstLineChars="200" w:firstLine="480"/>
        <w:jc w:val="both"/>
        <w:rPr>
          <w:noProof/>
          <w:kern w:val="0"/>
          <w:sz w:val="24"/>
        </w:rPr>
      </w:pPr>
      <w:r w:rsidRPr="00A279F5">
        <w:rPr>
          <w:noProof/>
          <w:kern w:val="0"/>
          <w:sz w:val="24"/>
        </w:rPr>
        <w:t>1.</w:t>
      </w:r>
      <w:r w:rsidRPr="00A279F5">
        <w:rPr>
          <w:rFonts w:hint="eastAsia"/>
          <w:noProof/>
          <w:kern w:val="0"/>
          <w:sz w:val="24"/>
        </w:rPr>
        <w:t>对</w:t>
      </w:r>
      <w:r w:rsidRPr="00A279F5">
        <w:rPr>
          <w:rFonts w:hint="eastAsia"/>
          <w:noProof/>
          <w:kern w:val="0"/>
          <w:sz w:val="24"/>
        </w:rPr>
        <w:t>Ames</w:t>
      </w:r>
      <w:r w:rsidRPr="00A279F5">
        <w:rPr>
          <w:rFonts w:hint="eastAsia"/>
          <w:noProof/>
          <w:kern w:val="0"/>
          <w:sz w:val="24"/>
        </w:rPr>
        <w:t>试验阳性结果的追加</w:t>
      </w:r>
    </w:p>
    <w:p w14:paraId="13E4DF61" w14:textId="13665280"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一些特殊情况下，</w:t>
      </w:r>
      <w:r w:rsidRPr="00A279F5">
        <w:rPr>
          <w:noProof/>
          <w:kern w:val="0"/>
          <w:sz w:val="24"/>
        </w:rPr>
        <w:t>Ames</w:t>
      </w:r>
      <w:r w:rsidRPr="00A279F5">
        <w:rPr>
          <w:rFonts w:hint="eastAsia"/>
          <w:noProof/>
          <w:kern w:val="0"/>
          <w:sz w:val="24"/>
        </w:rPr>
        <w:t>试验阳性结果并不证明</w:t>
      </w:r>
      <w:r w:rsidR="00DE3281">
        <w:rPr>
          <w:rFonts w:hint="eastAsia"/>
          <w:noProof/>
          <w:kern w:val="0"/>
          <w:sz w:val="24"/>
        </w:rPr>
        <w:t>受试物</w:t>
      </w:r>
      <w:r w:rsidRPr="00A279F5">
        <w:rPr>
          <w:rFonts w:hint="eastAsia"/>
          <w:noProof/>
          <w:kern w:val="0"/>
          <w:sz w:val="24"/>
        </w:rPr>
        <w:t>具有遗传毒性潜力，例如当发生细菌特异性代谢时（如被细菌硝基还原酶激活）。</w:t>
      </w:r>
      <w:r w:rsidRPr="00A279F5">
        <w:rPr>
          <w:rFonts w:hint="eastAsia"/>
          <w:noProof/>
          <w:color w:val="000000"/>
          <w:kern w:val="0"/>
          <w:sz w:val="24"/>
        </w:rPr>
        <w:t>如果</w:t>
      </w:r>
      <w:r w:rsidRPr="00A279F5">
        <w:rPr>
          <w:noProof/>
          <w:color w:val="000000"/>
          <w:kern w:val="0"/>
          <w:sz w:val="24"/>
        </w:rPr>
        <w:t>Ames</w:t>
      </w:r>
      <w:r w:rsidRPr="00A279F5">
        <w:rPr>
          <w:rFonts w:hint="eastAsia"/>
          <w:noProof/>
          <w:color w:val="000000"/>
          <w:kern w:val="0"/>
          <w:sz w:val="24"/>
        </w:rPr>
        <w:t>试验结果为</w:t>
      </w:r>
      <w:r>
        <w:rPr>
          <w:rFonts w:hint="eastAsia"/>
          <w:noProof/>
          <w:color w:val="000000"/>
          <w:kern w:val="0"/>
          <w:sz w:val="24"/>
        </w:rPr>
        <w:t>明显</w:t>
      </w:r>
      <w:r w:rsidRPr="00A279F5">
        <w:rPr>
          <w:rFonts w:hint="eastAsia"/>
          <w:noProof/>
          <w:color w:val="000000"/>
          <w:kern w:val="0"/>
          <w:sz w:val="24"/>
        </w:rPr>
        <w:t>的阳性结果，则需进行充分的追加试验，如进行额外的体内试验（包括致癌性试验），以评价体内致突变性和潜在致癌性，除非通过适当的风险</w:t>
      </w:r>
      <w:r w:rsidRPr="00A279F5">
        <w:rPr>
          <w:rFonts w:hint="eastAsia"/>
          <w:noProof/>
          <w:color w:val="000000"/>
          <w:kern w:val="0"/>
          <w:sz w:val="24"/>
        </w:rPr>
        <w:t>-</w:t>
      </w:r>
      <w:r w:rsidRPr="00A279F5">
        <w:rPr>
          <w:rFonts w:hint="eastAsia"/>
          <w:noProof/>
          <w:color w:val="000000"/>
          <w:kern w:val="0"/>
          <w:sz w:val="24"/>
        </w:rPr>
        <w:t>获益分析证明合理。</w:t>
      </w:r>
    </w:p>
    <w:p w14:paraId="4E5A469B" w14:textId="77777777" w:rsidR="00354780" w:rsidRPr="00A279F5" w:rsidRDefault="00354780" w:rsidP="00354780">
      <w:pPr>
        <w:adjustRightInd w:val="0"/>
        <w:snapToGrid w:val="0"/>
        <w:spacing w:line="360" w:lineRule="auto"/>
        <w:ind w:firstLineChars="200" w:firstLine="480"/>
        <w:jc w:val="both"/>
        <w:rPr>
          <w:noProof/>
          <w:kern w:val="0"/>
          <w:sz w:val="24"/>
        </w:rPr>
      </w:pPr>
      <w:r w:rsidRPr="00A279F5">
        <w:rPr>
          <w:rFonts w:hint="eastAsia"/>
          <w:noProof/>
          <w:kern w:val="0"/>
          <w:sz w:val="24"/>
        </w:rPr>
        <w:t>2.</w:t>
      </w:r>
      <w:r w:rsidRPr="00A279F5">
        <w:rPr>
          <w:rFonts w:hint="eastAsia"/>
          <w:noProof/>
          <w:kern w:val="0"/>
          <w:sz w:val="24"/>
        </w:rPr>
        <w:t>对体外哺乳动物细胞试验阳性结果的追加</w:t>
      </w:r>
    </w:p>
    <w:p w14:paraId="78539540" w14:textId="77777777"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以下讨论基于</w:t>
      </w:r>
      <w:r w:rsidRPr="00A279F5">
        <w:rPr>
          <w:rFonts w:hint="eastAsia"/>
          <w:noProof/>
          <w:kern w:val="0"/>
          <w:sz w:val="24"/>
        </w:rPr>
        <w:t>Ames</w:t>
      </w:r>
      <w:r w:rsidRPr="00A279F5">
        <w:rPr>
          <w:rFonts w:hint="eastAsia"/>
          <w:noProof/>
          <w:kern w:val="0"/>
          <w:sz w:val="24"/>
        </w:rPr>
        <w:t>试验结果为阴性。</w:t>
      </w:r>
    </w:p>
    <w:p w14:paraId="3991BC80" w14:textId="77777777"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 xml:space="preserve">2.1 </w:t>
      </w:r>
      <w:r w:rsidRPr="00A279F5">
        <w:rPr>
          <w:rFonts w:hint="eastAsia"/>
          <w:noProof/>
          <w:kern w:val="0"/>
          <w:sz w:val="24"/>
        </w:rPr>
        <w:t>追加机制</w:t>
      </w:r>
      <w:r w:rsidRPr="00A279F5">
        <w:rPr>
          <w:rFonts w:hint="eastAsia"/>
          <w:noProof/>
          <w:kern w:val="0"/>
          <w:sz w:val="24"/>
        </w:rPr>
        <w:t>/</w:t>
      </w:r>
      <w:r w:rsidRPr="00A279F5">
        <w:rPr>
          <w:rFonts w:hint="eastAsia"/>
          <w:noProof/>
          <w:kern w:val="0"/>
          <w:sz w:val="24"/>
        </w:rPr>
        <w:t>体内试验</w:t>
      </w:r>
    </w:p>
    <w:p w14:paraId="26F944E8" w14:textId="77777777"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当体外哺乳动物细胞试验为阳性结果且无充分证据排除生物学相关性时，建议进行追加试验以提供试验证据，可包括附加的体外试验或两项体内试验，具体如下：</w:t>
      </w:r>
    </w:p>
    <w:p w14:paraId="43D539EB" w14:textId="7CADAD28"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体外试验可为缺乏生物学相关性的阳性结果提供机制信息，如小鼠淋巴瘤细胞试验中诱导染色体畸变或突变的</w:t>
      </w:r>
      <w:r w:rsidR="00DE3281">
        <w:rPr>
          <w:rFonts w:hint="eastAsia"/>
          <w:noProof/>
          <w:kern w:val="0"/>
          <w:sz w:val="24"/>
        </w:rPr>
        <w:t>受试物</w:t>
      </w:r>
      <w:r w:rsidRPr="00A279F5">
        <w:rPr>
          <w:rFonts w:hint="eastAsia"/>
          <w:noProof/>
          <w:kern w:val="0"/>
          <w:sz w:val="24"/>
        </w:rPr>
        <w:t>不是</w:t>
      </w:r>
      <w:r w:rsidRPr="00A279F5">
        <w:rPr>
          <w:rFonts w:hint="eastAsia"/>
          <w:noProof/>
          <w:kern w:val="0"/>
          <w:sz w:val="24"/>
        </w:rPr>
        <w:t>DNA</w:t>
      </w:r>
      <w:r w:rsidRPr="00A279F5">
        <w:rPr>
          <w:rFonts w:hint="eastAsia"/>
          <w:noProof/>
          <w:kern w:val="0"/>
          <w:sz w:val="24"/>
        </w:rPr>
        <w:t>损伤性物质的证据（如除</w:t>
      </w:r>
      <w:r w:rsidRPr="00A279F5">
        <w:rPr>
          <w:rFonts w:hint="eastAsia"/>
          <w:noProof/>
          <w:kern w:val="0"/>
          <w:sz w:val="24"/>
        </w:rPr>
        <w:t>Ames</w:t>
      </w:r>
      <w:r w:rsidRPr="00A279F5">
        <w:rPr>
          <w:rFonts w:hint="eastAsia"/>
          <w:noProof/>
          <w:kern w:val="0"/>
          <w:sz w:val="24"/>
        </w:rPr>
        <w:t>试验外的其他突变</w:t>
      </w:r>
      <w:r w:rsidRPr="00A279F5">
        <w:rPr>
          <w:rFonts w:hint="eastAsia"/>
          <w:noProof/>
          <w:kern w:val="0"/>
          <w:sz w:val="24"/>
        </w:rPr>
        <w:t>/DNA</w:t>
      </w:r>
      <w:r w:rsidRPr="00A279F5">
        <w:rPr>
          <w:rFonts w:hint="eastAsia"/>
          <w:noProof/>
          <w:kern w:val="0"/>
          <w:sz w:val="24"/>
        </w:rPr>
        <w:t>损伤试验结果均为阴性、化学结构因素等），或可能与体内不相关或可能具有阈值的间接机制的证据（如抑制</w:t>
      </w:r>
      <w:r w:rsidRPr="00A279F5">
        <w:rPr>
          <w:rFonts w:hint="eastAsia"/>
          <w:noProof/>
          <w:kern w:val="0"/>
          <w:sz w:val="24"/>
        </w:rPr>
        <w:t>DNA</w:t>
      </w:r>
      <w:r w:rsidRPr="00A279F5">
        <w:rPr>
          <w:rFonts w:hint="eastAsia"/>
          <w:noProof/>
          <w:kern w:val="0"/>
          <w:sz w:val="24"/>
        </w:rPr>
        <w:t>合成、仅在高浓度时产生活性氧</w:t>
      </w:r>
      <w:r w:rsidRPr="00A279F5">
        <w:rPr>
          <w:rFonts w:hint="eastAsia"/>
          <w:noProof/>
          <w:kern w:val="0"/>
          <w:sz w:val="24"/>
        </w:rPr>
        <w:lastRenderedPageBreak/>
        <w:t>簇等），对于体外微核试验，还可包括提示染色体丢失</w:t>
      </w:r>
      <w:r w:rsidRPr="00A279F5">
        <w:rPr>
          <w:rFonts w:hint="eastAsia"/>
          <w:noProof/>
          <w:kern w:val="0"/>
          <w:sz w:val="24"/>
        </w:rPr>
        <w:t>/</w:t>
      </w:r>
      <w:r w:rsidRPr="00A279F5">
        <w:rPr>
          <w:rFonts w:hint="eastAsia"/>
          <w:noProof/>
          <w:kern w:val="0"/>
          <w:sz w:val="24"/>
        </w:rPr>
        <w:t>非整倍体的已知机制或提示染色体丢失的着丝点染色试验等。如果获得的机制信息和证据权重分析支持</w:t>
      </w:r>
      <w:r w:rsidR="00DE3281">
        <w:rPr>
          <w:rFonts w:hint="eastAsia"/>
          <w:noProof/>
          <w:kern w:val="0"/>
          <w:sz w:val="24"/>
        </w:rPr>
        <w:t>受试物</w:t>
      </w:r>
      <w:r w:rsidRPr="00A279F5">
        <w:rPr>
          <w:rFonts w:hint="eastAsia"/>
          <w:noProof/>
          <w:kern w:val="0"/>
          <w:sz w:val="24"/>
        </w:rPr>
        <w:t>不存在相关的遗传毒性，通常只需进行一项具有合适暴露证据的体内细胞遗传学试验，以确定</w:t>
      </w:r>
      <w:r w:rsidR="00DE3281">
        <w:rPr>
          <w:rFonts w:hint="eastAsia"/>
          <w:noProof/>
          <w:kern w:val="0"/>
          <w:sz w:val="24"/>
        </w:rPr>
        <w:t>受试物</w:t>
      </w:r>
      <w:r w:rsidRPr="00A279F5">
        <w:rPr>
          <w:rFonts w:hint="eastAsia"/>
          <w:noProof/>
          <w:kern w:val="0"/>
          <w:sz w:val="24"/>
        </w:rPr>
        <w:t>不存在遗传毒性作用。当追加研究染色体丢失的可能性时，需进行体内微核试验。</w:t>
      </w:r>
    </w:p>
    <w:p w14:paraId="661BCAB4" w14:textId="2DD8DA82"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如果无充分的证据或机制信息以排除相关的潜在遗传毒性，通常需进行两项采用不同组织且有暴露证据的体内试验。终点指标充分合理且证明有暴露的合适的体内试验的阴性结果可证明</w:t>
      </w:r>
      <w:r w:rsidR="00DE3281">
        <w:rPr>
          <w:rFonts w:hint="eastAsia"/>
          <w:noProof/>
          <w:kern w:val="0"/>
          <w:sz w:val="24"/>
        </w:rPr>
        <w:t>受试物</w:t>
      </w:r>
      <w:r w:rsidRPr="00A279F5">
        <w:rPr>
          <w:rFonts w:hint="eastAsia"/>
          <w:noProof/>
          <w:kern w:val="0"/>
          <w:sz w:val="24"/>
        </w:rPr>
        <w:t>不具有遗传毒性风险。</w:t>
      </w:r>
    </w:p>
    <w:p w14:paraId="533C4F87" w14:textId="77777777"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 xml:space="preserve">2.2 </w:t>
      </w:r>
      <w:r w:rsidRPr="00A279F5">
        <w:rPr>
          <w:rFonts w:hint="eastAsia"/>
          <w:noProof/>
          <w:kern w:val="0"/>
          <w:sz w:val="24"/>
        </w:rPr>
        <w:t>对依赖于</w:t>
      </w:r>
      <w:r w:rsidRPr="00A279F5">
        <w:rPr>
          <w:rFonts w:hint="eastAsia"/>
          <w:noProof/>
          <w:kern w:val="0"/>
          <w:sz w:val="24"/>
        </w:rPr>
        <w:t>S9</w:t>
      </w:r>
      <w:r w:rsidRPr="00A279F5">
        <w:rPr>
          <w:rFonts w:hint="eastAsia"/>
          <w:noProof/>
          <w:kern w:val="0"/>
          <w:sz w:val="24"/>
        </w:rPr>
        <w:t>的体外试验阳性结果的追加</w:t>
      </w:r>
    </w:p>
    <w:p w14:paraId="4BC3DCB6" w14:textId="77777777"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当阳性结果只出现在</w:t>
      </w:r>
      <w:r w:rsidRPr="00A279F5">
        <w:rPr>
          <w:rFonts w:hint="eastAsia"/>
          <w:noProof/>
          <w:kern w:val="0"/>
          <w:sz w:val="24"/>
        </w:rPr>
        <w:t>S9</w:t>
      </w:r>
      <w:bookmarkStart w:id="3" w:name="OLE_LINK9"/>
      <w:r w:rsidRPr="00A279F5">
        <w:rPr>
          <w:rFonts w:hint="eastAsia"/>
          <w:noProof/>
          <w:kern w:val="0"/>
          <w:sz w:val="24"/>
        </w:rPr>
        <w:t>代谢活化系统存在的</w:t>
      </w:r>
      <w:bookmarkEnd w:id="3"/>
      <w:r w:rsidRPr="00A279F5">
        <w:rPr>
          <w:rFonts w:hint="eastAsia"/>
          <w:noProof/>
          <w:kern w:val="0"/>
          <w:sz w:val="24"/>
        </w:rPr>
        <w:t>情况下，首先应确认是否为代谢活化的原因，而非其他不同条件（如血清浓度），追加试验的目的是确定体外结果与体内条件的相关性，通常进行肝脏的体内试验。</w:t>
      </w:r>
    </w:p>
    <w:p w14:paraId="33F716D2" w14:textId="77777777" w:rsidR="00354780" w:rsidRPr="0082108F" w:rsidRDefault="00354780" w:rsidP="00354780">
      <w:pPr>
        <w:adjustRightInd w:val="0"/>
        <w:snapToGrid w:val="0"/>
        <w:spacing w:line="360" w:lineRule="auto"/>
        <w:ind w:firstLineChars="200" w:firstLine="480"/>
        <w:jc w:val="both"/>
        <w:rPr>
          <w:noProof/>
          <w:kern w:val="0"/>
          <w:sz w:val="24"/>
        </w:rPr>
      </w:pPr>
      <w:r w:rsidRPr="0082108F">
        <w:rPr>
          <w:noProof/>
          <w:kern w:val="0"/>
          <w:sz w:val="24"/>
        </w:rPr>
        <w:t>3.</w:t>
      </w:r>
      <w:r w:rsidRPr="0082108F">
        <w:rPr>
          <w:rFonts w:hint="eastAsia"/>
          <w:noProof/>
          <w:kern w:val="0"/>
          <w:sz w:val="24"/>
        </w:rPr>
        <w:t>对体外试验阴性结果的追加</w:t>
      </w:r>
    </w:p>
    <w:p w14:paraId="293354ED" w14:textId="1AA7A55D"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82108F">
        <w:rPr>
          <w:rFonts w:hint="eastAsia"/>
          <w:noProof/>
          <w:kern w:val="0"/>
          <w:sz w:val="24"/>
        </w:rPr>
        <w:t>对于体外试验阴性结果，在一些特殊情况下，</w:t>
      </w:r>
      <w:r w:rsidR="009B78D8">
        <w:rPr>
          <w:rFonts w:hint="eastAsia"/>
          <w:noProof/>
          <w:kern w:val="0"/>
          <w:sz w:val="24"/>
        </w:rPr>
        <w:t>如</w:t>
      </w:r>
      <w:r w:rsidR="009B78D8" w:rsidRPr="00977D24">
        <w:rPr>
          <w:rFonts w:hint="eastAsia"/>
          <w:noProof/>
          <w:kern w:val="0"/>
          <w:sz w:val="24"/>
        </w:rPr>
        <w:t>，受试物的化学结构或已知代谢特征提示体外代谢活化方法（如啮齿类动物肝脏</w:t>
      </w:r>
      <w:r w:rsidR="009B78D8" w:rsidRPr="00977D24">
        <w:rPr>
          <w:noProof/>
          <w:kern w:val="0"/>
          <w:sz w:val="24"/>
        </w:rPr>
        <w:t>S9</w:t>
      </w:r>
      <w:r w:rsidR="009B78D8" w:rsidRPr="00977D24">
        <w:rPr>
          <w:rFonts w:hint="eastAsia"/>
          <w:noProof/>
          <w:kern w:val="0"/>
          <w:sz w:val="24"/>
        </w:rPr>
        <w:t>）可能不适合</w:t>
      </w:r>
      <w:r w:rsidR="009B78D8">
        <w:rPr>
          <w:rFonts w:hint="eastAsia"/>
          <w:noProof/>
          <w:kern w:val="0"/>
          <w:sz w:val="24"/>
        </w:rPr>
        <w:t>，</w:t>
      </w:r>
      <w:r w:rsidR="009B78D8" w:rsidRPr="00977D24">
        <w:rPr>
          <w:rFonts w:hint="eastAsia"/>
          <w:noProof/>
          <w:kern w:val="0"/>
          <w:sz w:val="24"/>
        </w:rPr>
        <w:t>受试物的化学结构或已知活性提示其他试验方法或系统可能更合适</w:t>
      </w:r>
      <w:r w:rsidR="009B78D8">
        <w:rPr>
          <w:rFonts w:hint="eastAsia"/>
          <w:noProof/>
          <w:kern w:val="0"/>
          <w:sz w:val="24"/>
        </w:rPr>
        <w:t>，</w:t>
      </w:r>
      <w:r w:rsidRPr="0082108F">
        <w:rPr>
          <w:rFonts w:hint="eastAsia"/>
          <w:noProof/>
          <w:kern w:val="0"/>
          <w:sz w:val="24"/>
        </w:rPr>
        <w:t>需考虑进一步试验，</w:t>
      </w:r>
      <w:r w:rsidR="009B78D8">
        <w:rPr>
          <w:rFonts w:hint="eastAsia"/>
          <w:noProof/>
          <w:kern w:val="0"/>
          <w:sz w:val="24"/>
        </w:rPr>
        <w:t>如</w:t>
      </w:r>
      <w:r w:rsidR="009B78D8" w:rsidRPr="009B78D8">
        <w:rPr>
          <w:rFonts w:hint="eastAsia"/>
          <w:noProof/>
          <w:kern w:val="0"/>
          <w:sz w:val="24"/>
        </w:rPr>
        <w:t>优化体外代谢活化系统</w:t>
      </w:r>
      <w:r w:rsidR="009B78D8">
        <w:rPr>
          <w:rFonts w:hint="eastAsia"/>
          <w:noProof/>
          <w:kern w:val="0"/>
          <w:sz w:val="24"/>
        </w:rPr>
        <w:t>。</w:t>
      </w:r>
    </w:p>
    <w:p w14:paraId="314DCB62" w14:textId="77777777" w:rsidR="00354780" w:rsidRPr="005740E6" w:rsidRDefault="00354780" w:rsidP="00354780">
      <w:pPr>
        <w:autoSpaceDE w:val="0"/>
        <w:autoSpaceDN w:val="0"/>
        <w:adjustRightInd w:val="0"/>
        <w:snapToGrid w:val="0"/>
        <w:spacing w:line="360" w:lineRule="auto"/>
        <w:ind w:firstLineChars="200" w:firstLine="480"/>
        <w:jc w:val="both"/>
        <w:rPr>
          <w:rFonts w:eastAsia="黑体"/>
          <w:noProof/>
          <w:kern w:val="0"/>
          <w:sz w:val="24"/>
        </w:rPr>
      </w:pPr>
      <w:bookmarkStart w:id="4" w:name="_Hlk183360661"/>
      <w:r w:rsidRPr="005740E6">
        <w:rPr>
          <w:rFonts w:eastAsia="黑体" w:hint="eastAsia"/>
          <w:noProof/>
          <w:kern w:val="0"/>
          <w:sz w:val="24"/>
        </w:rPr>
        <w:t>（二）对体内试验结果的追加</w:t>
      </w:r>
    </w:p>
    <w:bookmarkEnd w:id="4"/>
    <w:p w14:paraId="10804CCA" w14:textId="369E120C" w:rsidR="00354780" w:rsidRPr="0082108F" w:rsidRDefault="00354780" w:rsidP="00354780">
      <w:pPr>
        <w:autoSpaceDE w:val="0"/>
        <w:autoSpaceDN w:val="0"/>
        <w:adjustRightInd w:val="0"/>
        <w:snapToGrid w:val="0"/>
        <w:spacing w:line="360" w:lineRule="auto"/>
        <w:ind w:firstLineChars="200" w:firstLine="480"/>
        <w:jc w:val="both"/>
        <w:rPr>
          <w:noProof/>
          <w:color w:val="000000" w:themeColor="text1"/>
          <w:kern w:val="0"/>
          <w:sz w:val="24"/>
        </w:rPr>
      </w:pPr>
      <w:r w:rsidRPr="00A279F5">
        <w:rPr>
          <w:rFonts w:hint="eastAsia"/>
          <w:noProof/>
          <w:kern w:val="0"/>
          <w:sz w:val="24"/>
        </w:rPr>
        <w:t>体内试验结果的意义与</w:t>
      </w:r>
      <w:r w:rsidR="00DE3281">
        <w:rPr>
          <w:rFonts w:hint="eastAsia"/>
          <w:noProof/>
          <w:kern w:val="0"/>
          <w:sz w:val="24"/>
        </w:rPr>
        <w:t>受试物</w:t>
      </w:r>
      <w:r w:rsidRPr="00A279F5">
        <w:rPr>
          <w:rFonts w:hint="eastAsia"/>
          <w:noProof/>
          <w:kern w:val="0"/>
          <w:sz w:val="24"/>
        </w:rPr>
        <w:t>在靶组织中是否充分暴露直接相关。如果体内试验结果与体外的不一致，应结合具体情况对结果差异进行分析，如考虑代谢差异。</w:t>
      </w:r>
      <w:r w:rsidRPr="0082108F">
        <w:rPr>
          <w:rFonts w:hint="eastAsia"/>
          <w:noProof/>
          <w:color w:val="000000" w:themeColor="text1"/>
          <w:kern w:val="0"/>
          <w:sz w:val="24"/>
        </w:rPr>
        <w:t>若体外试验为明显的阳性结果，但体内试验，如使用骨髓进行的试验，为明显的阴性结果，则有必要使用骨髓以外的靶组织进行另一种体内试验，以确认该</w:t>
      </w:r>
      <w:r w:rsidR="00DE3281" w:rsidRPr="0082108F">
        <w:rPr>
          <w:rFonts w:hint="eastAsia"/>
          <w:noProof/>
          <w:color w:val="000000" w:themeColor="text1"/>
          <w:kern w:val="0"/>
          <w:sz w:val="24"/>
        </w:rPr>
        <w:t>受试物</w:t>
      </w:r>
      <w:r w:rsidRPr="0082108F">
        <w:rPr>
          <w:rFonts w:hint="eastAsia"/>
          <w:noProof/>
          <w:color w:val="000000" w:themeColor="text1"/>
          <w:kern w:val="0"/>
          <w:sz w:val="24"/>
        </w:rPr>
        <w:t>是否具有遗传毒性。</w:t>
      </w:r>
    </w:p>
    <w:p w14:paraId="250EA139" w14:textId="77777777"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82108F">
        <w:rPr>
          <w:rFonts w:hint="eastAsia"/>
          <w:noProof/>
          <w:color w:val="000000" w:themeColor="text1"/>
          <w:kern w:val="0"/>
          <w:sz w:val="24"/>
        </w:rPr>
        <w:t>此外，评价遗传毒性数据时应考虑所有毒理学和血液学结果，与毒理学变化相关</w:t>
      </w:r>
      <w:r w:rsidRPr="00A279F5">
        <w:rPr>
          <w:rFonts w:hint="eastAsia"/>
          <w:noProof/>
          <w:kern w:val="0"/>
          <w:sz w:val="24"/>
        </w:rPr>
        <w:t>的间接作用可能具有一个安全范围，且可能不具有临床相关性。</w:t>
      </w:r>
    </w:p>
    <w:p w14:paraId="3D4BD841" w14:textId="77777777" w:rsidR="00354780" w:rsidRPr="00A279F5" w:rsidRDefault="00354780" w:rsidP="00354780">
      <w:pPr>
        <w:autoSpaceDE w:val="0"/>
        <w:autoSpaceDN w:val="0"/>
        <w:adjustRightInd w:val="0"/>
        <w:snapToGrid w:val="0"/>
        <w:spacing w:line="360" w:lineRule="auto"/>
        <w:ind w:firstLineChars="200" w:firstLine="480"/>
        <w:jc w:val="both"/>
        <w:rPr>
          <w:sz w:val="24"/>
        </w:rPr>
      </w:pPr>
      <w:r w:rsidRPr="00A279F5">
        <w:rPr>
          <w:rFonts w:hint="eastAsia"/>
          <w:sz w:val="24"/>
        </w:rPr>
        <w:t>若体内微核试验显示微核率升高，应评估所有毒理学数据，以确定是否由非遗传毒性作用所致或非遗传毒性作用是否为其中的一个作用因素。如果怀疑存在干扰红细胞生成或生理学的非特异性因素（如体温偏低或过高），体内染色体畸变试验可能更为合适。如果怀疑微核率升高的结果，应研究证明该升高是否由染色体丢失或染色</w:t>
      </w:r>
      <w:r w:rsidRPr="00A279F5">
        <w:rPr>
          <w:rFonts w:hint="eastAsia"/>
          <w:sz w:val="24"/>
        </w:rPr>
        <w:lastRenderedPageBreak/>
        <w:t>体断裂所致。有证据表明非整倍体诱导作用，如纺锤体抑制剂，具有非线性剂量反应关系，因此，有可能确定一个阈值暴露，并确定与临床暴露相比，是否存在适当的安全范围。</w:t>
      </w:r>
    </w:p>
    <w:p w14:paraId="21B41992" w14:textId="77777777" w:rsidR="00354780" w:rsidRPr="005740E6" w:rsidRDefault="00354780" w:rsidP="00354780">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（三）</w:t>
      </w:r>
      <w:bookmarkStart w:id="5" w:name="_Hlk183360677"/>
      <w:r w:rsidRPr="005740E6">
        <w:rPr>
          <w:rFonts w:eastAsia="黑体" w:hint="eastAsia"/>
          <w:noProof/>
          <w:kern w:val="0"/>
          <w:sz w:val="24"/>
        </w:rPr>
        <w:t>与致癌性试验中肿瘤发现有关的追加</w:t>
      </w:r>
    </w:p>
    <w:bookmarkEnd w:id="5"/>
    <w:p w14:paraId="1545B55B" w14:textId="692718AB" w:rsidR="00354780" w:rsidRPr="00A279F5" w:rsidRDefault="00354780" w:rsidP="00354780">
      <w:pPr>
        <w:autoSpaceDE w:val="0"/>
        <w:autoSpaceDN w:val="0"/>
        <w:adjustRightInd w:val="0"/>
        <w:snapToGrid w:val="0"/>
        <w:spacing w:line="360" w:lineRule="auto"/>
        <w:ind w:firstLineChars="200" w:firstLine="480"/>
        <w:jc w:val="both"/>
        <w:rPr>
          <w:noProof/>
          <w:kern w:val="0"/>
          <w:sz w:val="24"/>
        </w:rPr>
      </w:pPr>
      <w:r w:rsidRPr="00A279F5">
        <w:rPr>
          <w:rFonts w:hint="eastAsia"/>
          <w:noProof/>
          <w:kern w:val="0"/>
          <w:sz w:val="24"/>
        </w:rPr>
        <w:t>遗传毒性试验组合检测的是主要通过直接的遗传损伤机制发挥作用的</w:t>
      </w:r>
      <w:bookmarkStart w:id="6" w:name="OLE_LINK10"/>
      <w:r w:rsidRPr="00A279F5">
        <w:rPr>
          <w:rFonts w:hint="eastAsia"/>
          <w:noProof/>
          <w:kern w:val="0"/>
          <w:sz w:val="24"/>
        </w:rPr>
        <w:t>致癌物质</w:t>
      </w:r>
      <w:bookmarkEnd w:id="6"/>
      <w:r w:rsidRPr="00A279F5">
        <w:rPr>
          <w:rFonts w:hint="eastAsia"/>
          <w:noProof/>
          <w:kern w:val="0"/>
          <w:sz w:val="24"/>
        </w:rPr>
        <w:t>，不适用于检测非遗传毒性致癌剂。对于在遗传毒性标准试验组合中呈阴性结果，但在致癌性试验中显示肿瘤发生率升高，且无充分证据证明是非遗传毒性作用机制的</w:t>
      </w:r>
      <w:r w:rsidR="00DE3281">
        <w:rPr>
          <w:rFonts w:hint="eastAsia"/>
          <w:noProof/>
          <w:kern w:val="0"/>
          <w:sz w:val="24"/>
        </w:rPr>
        <w:t>受试物</w:t>
      </w:r>
      <w:r w:rsidRPr="00A279F5">
        <w:rPr>
          <w:rFonts w:hint="eastAsia"/>
          <w:noProof/>
          <w:kern w:val="0"/>
          <w:sz w:val="24"/>
        </w:rPr>
        <w:t>，应在适当的模型上进行附加的遗传毒性试验，可包括改变体外试验的代谢活化条件，或检测肿瘤诱导靶器官遗传性损伤的体内试验，如</w:t>
      </w:r>
      <w:r w:rsidRPr="00A279F5">
        <w:rPr>
          <w:rFonts w:hint="eastAsia"/>
          <w:noProof/>
          <w:kern w:val="0"/>
          <w:sz w:val="24"/>
        </w:rPr>
        <w:t>DNA</w:t>
      </w:r>
      <w:r w:rsidRPr="00A279F5">
        <w:rPr>
          <w:rFonts w:hint="eastAsia"/>
          <w:noProof/>
          <w:kern w:val="0"/>
          <w:sz w:val="24"/>
        </w:rPr>
        <w:t>链断裂试验（如彗星试验或碱洗脱试验）、</w:t>
      </w:r>
      <w:r w:rsidRPr="00A279F5">
        <w:rPr>
          <w:rFonts w:hint="eastAsia"/>
          <w:noProof/>
          <w:kern w:val="0"/>
          <w:sz w:val="24"/>
        </w:rPr>
        <w:t>DNA</w:t>
      </w:r>
      <w:r w:rsidRPr="00A279F5">
        <w:rPr>
          <w:rFonts w:hint="eastAsia"/>
          <w:noProof/>
          <w:kern w:val="0"/>
          <w:sz w:val="24"/>
        </w:rPr>
        <w:t>加合试验（如通过</w:t>
      </w:r>
      <w:r w:rsidRPr="00A279F5">
        <w:rPr>
          <w:rFonts w:hint="eastAsia"/>
          <w:noProof/>
          <w:kern w:val="0"/>
          <w:sz w:val="24"/>
          <w:vertAlign w:val="superscript"/>
        </w:rPr>
        <w:t>32</w:t>
      </w:r>
      <w:r w:rsidRPr="00A279F5">
        <w:rPr>
          <w:rFonts w:hint="eastAsia"/>
          <w:noProof/>
          <w:kern w:val="0"/>
          <w:sz w:val="24"/>
        </w:rPr>
        <w:t>P-</w:t>
      </w:r>
      <w:r w:rsidRPr="00A279F5">
        <w:rPr>
          <w:rFonts w:hint="eastAsia"/>
          <w:noProof/>
          <w:kern w:val="0"/>
          <w:sz w:val="24"/>
        </w:rPr>
        <w:t>后标记）、转基因突变诱导试验或肿瘤相关基因遗传学改变的分子特征性分析等。</w:t>
      </w:r>
    </w:p>
    <w:p w14:paraId="2E4B2A31" w14:textId="6CEDAC58" w:rsidR="00354780" w:rsidRDefault="00875740" w:rsidP="00354780">
      <w:pPr>
        <w:autoSpaceDE w:val="0"/>
        <w:autoSpaceDN w:val="0"/>
        <w:adjustRightInd w:val="0"/>
        <w:snapToGrid w:val="0"/>
        <w:spacing w:line="360" w:lineRule="auto"/>
        <w:ind w:firstLineChars="200" w:firstLine="560"/>
        <w:jc w:val="both"/>
        <w:rPr>
          <w:rFonts w:eastAsia="黑体"/>
          <w:noProof/>
          <w:kern w:val="0"/>
          <w:sz w:val="28"/>
          <w:szCs w:val="28"/>
        </w:rPr>
      </w:pPr>
      <w:r>
        <w:rPr>
          <w:rFonts w:eastAsia="黑体" w:hint="eastAsia"/>
          <w:noProof/>
          <w:kern w:val="0"/>
          <w:sz w:val="28"/>
          <w:szCs w:val="28"/>
        </w:rPr>
        <w:t>三</w:t>
      </w:r>
      <w:r>
        <w:rPr>
          <w:rFonts w:eastAsia="黑体"/>
          <w:noProof/>
          <w:kern w:val="0"/>
          <w:sz w:val="28"/>
          <w:szCs w:val="28"/>
        </w:rPr>
        <w:t>、</w:t>
      </w:r>
      <w:r w:rsidR="00354780">
        <w:rPr>
          <w:rFonts w:eastAsia="黑体" w:hint="eastAsia"/>
          <w:noProof/>
          <w:kern w:val="0"/>
          <w:sz w:val="28"/>
          <w:szCs w:val="28"/>
        </w:rPr>
        <w:t>术语</w:t>
      </w:r>
    </w:p>
    <w:p w14:paraId="149E743E" w14:textId="77777777" w:rsidR="00354780" w:rsidRPr="009460A9" w:rsidRDefault="00354780" w:rsidP="00354780">
      <w:pPr>
        <w:adjustRightInd w:val="0"/>
        <w:snapToGrid w:val="0"/>
        <w:spacing w:line="360" w:lineRule="auto"/>
        <w:ind w:firstLineChars="200" w:firstLine="468"/>
        <w:jc w:val="both"/>
        <w:rPr>
          <w:color w:val="000000"/>
          <w:spacing w:val="-3"/>
          <w:kern w:val="0"/>
          <w:sz w:val="24"/>
          <w:lang w:val="x-none"/>
        </w:rPr>
      </w:pPr>
      <w:r w:rsidRPr="0011464D">
        <w:rPr>
          <w:color w:val="000000"/>
          <w:spacing w:val="-3"/>
          <w:kern w:val="0"/>
          <w:sz w:val="24"/>
          <w:lang w:val="x-none"/>
        </w:rPr>
        <w:t>S9</w:t>
      </w:r>
      <w:r w:rsidRPr="0011464D">
        <w:rPr>
          <w:rFonts w:hint="eastAsia"/>
          <w:color w:val="000000"/>
          <w:spacing w:val="-3"/>
          <w:kern w:val="0"/>
          <w:sz w:val="24"/>
          <w:lang w:val="x-none"/>
        </w:rPr>
        <w:t>：采用经</w:t>
      </w:r>
      <w:r w:rsidRPr="0011464D">
        <w:rPr>
          <w:sz w:val="24"/>
        </w:rPr>
        <w:t>酶诱导剂（如</w:t>
      </w:r>
      <w:proofErr w:type="spellStart"/>
      <w:r w:rsidRPr="0011464D">
        <w:rPr>
          <w:sz w:val="24"/>
        </w:rPr>
        <w:t>Aroclor</w:t>
      </w:r>
      <w:proofErr w:type="spellEnd"/>
      <w:r w:rsidRPr="0011464D">
        <w:rPr>
          <w:sz w:val="24"/>
        </w:rPr>
        <w:t xml:space="preserve"> 1254</w:t>
      </w:r>
      <w:r w:rsidRPr="0011464D">
        <w:rPr>
          <w:sz w:val="24"/>
        </w:rPr>
        <w:t>或苯巴比妥和</w:t>
      </w:r>
      <w:r w:rsidRPr="0011464D">
        <w:rPr>
          <w:sz w:val="24"/>
        </w:rPr>
        <w:t>β-</w:t>
      </w:r>
      <w:proofErr w:type="gramStart"/>
      <w:r w:rsidRPr="0011464D">
        <w:rPr>
          <w:sz w:val="24"/>
        </w:rPr>
        <w:t>萘</w:t>
      </w:r>
      <w:proofErr w:type="gramEnd"/>
      <w:r w:rsidRPr="0011464D">
        <w:rPr>
          <w:sz w:val="24"/>
        </w:rPr>
        <w:t>黄酮联合）</w:t>
      </w:r>
      <w:r w:rsidRPr="0011464D">
        <w:rPr>
          <w:rFonts w:hint="eastAsia"/>
          <w:color w:val="000000"/>
          <w:spacing w:val="-3"/>
          <w:kern w:val="0"/>
          <w:sz w:val="24"/>
          <w:lang w:val="x-none"/>
        </w:rPr>
        <w:t>诱导的大鼠制备肝匀浆，在</w:t>
      </w:r>
      <w:r w:rsidRPr="0011464D">
        <w:rPr>
          <w:color w:val="000000"/>
          <w:spacing w:val="-3"/>
          <w:kern w:val="0"/>
          <w:sz w:val="24"/>
          <w:lang w:val="x-none"/>
        </w:rPr>
        <w:t>9000g</w:t>
      </w:r>
      <w:r w:rsidRPr="0011464D">
        <w:rPr>
          <w:rFonts w:hint="eastAsia"/>
          <w:color w:val="000000"/>
          <w:spacing w:val="-3"/>
          <w:kern w:val="0"/>
          <w:sz w:val="24"/>
          <w:lang w:val="x-none"/>
        </w:rPr>
        <w:t>下离心</w:t>
      </w:r>
      <w:r w:rsidRPr="0011464D">
        <w:rPr>
          <w:color w:val="000000"/>
          <w:spacing w:val="-3"/>
          <w:kern w:val="0"/>
          <w:sz w:val="24"/>
          <w:lang w:val="x-none"/>
        </w:rPr>
        <w:t>10min</w:t>
      </w:r>
      <w:r w:rsidRPr="0011464D">
        <w:rPr>
          <w:rFonts w:hint="eastAsia"/>
          <w:color w:val="000000"/>
          <w:spacing w:val="-3"/>
          <w:kern w:val="0"/>
          <w:sz w:val="24"/>
          <w:lang w:val="x-none"/>
        </w:rPr>
        <w:t>后的肝匀浆上清液。</w:t>
      </w:r>
    </w:p>
    <w:p w14:paraId="1DDE2B38" w14:textId="77777777" w:rsidR="00354780" w:rsidRDefault="00354780" w:rsidP="00354780">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非整倍体</w:t>
      </w:r>
      <w:r>
        <w:rPr>
          <w:rFonts w:hint="eastAsia"/>
          <w:color w:val="000000"/>
          <w:spacing w:val="-3"/>
          <w:kern w:val="0"/>
          <w:sz w:val="24"/>
          <w:lang w:val="x-none"/>
        </w:rPr>
        <w:t>（</w:t>
      </w:r>
      <w:r>
        <w:rPr>
          <w:rFonts w:hint="eastAsia"/>
          <w:color w:val="000000"/>
          <w:spacing w:val="-3"/>
          <w:kern w:val="0"/>
          <w:sz w:val="24"/>
          <w:lang w:val="x-none"/>
        </w:rPr>
        <w:t>A</w:t>
      </w:r>
      <w:r w:rsidRPr="00A65A67">
        <w:rPr>
          <w:color w:val="000000"/>
          <w:spacing w:val="-3"/>
          <w:kern w:val="0"/>
          <w:sz w:val="24"/>
          <w:lang w:val="x-none"/>
        </w:rPr>
        <w:t>neuploidy</w:t>
      </w:r>
      <w:r>
        <w:rPr>
          <w:rFonts w:hint="eastAsia"/>
          <w:color w:val="000000"/>
          <w:spacing w:val="-3"/>
          <w:kern w:val="0"/>
          <w:sz w:val="24"/>
          <w:lang w:val="x-none"/>
        </w:rPr>
        <w:t>）：</w:t>
      </w:r>
      <w:r w:rsidRPr="00A65A67">
        <w:rPr>
          <w:rFonts w:hint="eastAsia"/>
          <w:color w:val="000000"/>
          <w:spacing w:val="-3"/>
          <w:kern w:val="0"/>
          <w:sz w:val="24"/>
          <w:lang w:val="x-none"/>
        </w:rPr>
        <w:t>二倍体染色体组中缺少或额外增加一条或若干条完整的染色体的变异类型。</w:t>
      </w:r>
    </w:p>
    <w:p w14:paraId="6F2CBBC3" w14:textId="77777777" w:rsidR="00354780" w:rsidRPr="00A65A67" w:rsidRDefault="00354780" w:rsidP="00354780">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染色体断裂</w:t>
      </w:r>
      <w:r>
        <w:rPr>
          <w:rFonts w:hint="eastAsia"/>
          <w:color w:val="000000"/>
          <w:spacing w:val="-3"/>
          <w:kern w:val="0"/>
          <w:sz w:val="24"/>
          <w:lang w:val="x-none"/>
        </w:rPr>
        <w:t>（</w:t>
      </w:r>
      <w:r>
        <w:rPr>
          <w:rFonts w:hint="eastAsia"/>
          <w:color w:val="000000"/>
          <w:spacing w:val="-3"/>
          <w:kern w:val="0"/>
          <w:sz w:val="24"/>
          <w:lang w:val="x-none"/>
        </w:rPr>
        <w:t>C</w:t>
      </w:r>
      <w:r w:rsidRPr="00A65A67">
        <w:rPr>
          <w:color w:val="000000"/>
          <w:spacing w:val="-3"/>
          <w:kern w:val="0"/>
          <w:sz w:val="24"/>
          <w:lang w:val="x-none"/>
        </w:rPr>
        <w:t>hromosome breakage</w:t>
      </w:r>
      <w:r>
        <w:rPr>
          <w:rFonts w:hint="eastAsia"/>
          <w:color w:val="000000"/>
          <w:spacing w:val="-3"/>
          <w:kern w:val="0"/>
          <w:sz w:val="24"/>
          <w:lang w:val="x-none"/>
        </w:rPr>
        <w:t>）：</w:t>
      </w:r>
      <w:r w:rsidRPr="00A65A67">
        <w:rPr>
          <w:rFonts w:hint="eastAsia"/>
          <w:color w:val="000000"/>
          <w:spacing w:val="-3"/>
          <w:kern w:val="0"/>
          <w:sz w:val="24"/>
          <w:lang w:val="x-none"/>
        </w:rPr>
        <w:t>染色体臂出现长度大于染色体臂宽度的裂隙。</w:t>
      </w:r>
    </w:p>
    <w:p w14:paraId="222C1F6D" w14:textId="75C9CDC4" w:rsidR="00354780" w:rsidRPr="00A279F5" w:rsidRDefault="00875740" w:rsidP="00354780">
      <w:pPr>
        <w:autoSpaceDE w:val="0"/>
        <w:autoSpaceDN w:val="0"/>
        <w:adjustRightInd w:val="0"/>
        <w:snapToGrid w:val="0"/>
        <w:spacing w:line="360" w:lineRule="auto"/>
        <w:ind w:firstLineChars="200" w:firstLine="560"/>
        <w:jc w:val="both"/>
        <w:rPr>
          <w:rFonts w:eastAsia="黑体"/>
          <w:noProof/>
          <w:kern w:val="0"/>
          <w:sz w:val="28"/>
          <w:szCs w:val="28"/>
        </w:rPr>
      </w:pPr>
      <w:r>
        <w:rPr>
          <w:rFonts w:eastAsia="黑体" w:hint="eastAsia"/>
          <w:noProof/>
          <w:kern w:val="0"/>
          <w:sz w:val="28"/>
          <w:szCs w:val="28"/>
        </w:rPr>
        <w:t>四、</w:t>
      </w:r>
      <w:r w:rsidR="00354780" w:rsidRPr="00A279F5">
        <w:rPr>
          <w:rFonts w:eastAsia="黑体" w:hint="eastAsia"/>
          <w:noProof/>
          <w:kern w:val="0"/>
          <w:sz w:val="28"/>
          <w:szCs w:val="28"/>
        </w:rPr>
        <w:t>参考文献</w:t>
      </w:r>
    </w:p>
    <w:p w14:paraId="11BE6E8B" w14:textId="77777777" w:rsidR="00354780" w:rsidRDefault="00354780" w:rsidP="00354780">
      <w:pPr>
        <w:adjustRightInd w:val="0"/>
        <w:snapToGrid w:val="0"/>
        <w:spacing w:line="360" w:lineRule="auto"/>
        <w:ind w:firstLineChars="200" w:firstLine="480"/>
        <w:jc w:val="both"/>
        <w:rPr>
          <w:kern w:val="0"/>
          <w:sz w:val="24"/>
        </w:rPr>
      </w:pPr>
      <w:r w:rsidRPr="00A279F5">
        <w:rPr>
          <w:kern w:val="0"/>
          <w:sz w:val="24"/>
        </w:rPr>
        <w:t xml:space="preserve">1. </w:t>
      </w:r>
      <w:r>
        <w:rPr>
          <w:rFonts w:hint="eastAsia"/>
          <w:kern w:val="0"/>
          <w:sz w:val="24"/>
        </w:rPr>
        <w:t>国家药品监督管理局药品审评中心</w:t>
      </w:r>
      <w:r w:rsidRPr="00A279F5">
        <w:rPr>
          <w:kern w:val="0"/>
          <w:sz w:val="24"/>
        </w:rPr>
        <w:t xml:space="preserve">. </w:t>
      </w:r>
      <w:r w:rsidRPr="00A279F5">
        <w:rPr>
          <w:rFonts w:hint="eastAsia"/>
          <w:kern w:val="0"/>
          <w:sz w:val="24"/>
        </w:rPr>
        <w:t>药物遗传毒性研究技术指导原则</w:t>
      </w:r>
      <w:r w:rsidRPr="00A279F5">
        <w:rPr>
          <w:kern w:val="0"/>
          <w:sz w:val="24"/>
        </w:rPr>
        <w:t>[S]. 2018.</w:t>
      </w:r>
    </w:p>
    <w:p w14:paraId="51A38B15" w14:textId="77777777" w:rsidR="00354780" w:rsidRDefault="00354780" w:rsidP="00354780">
      <w:pPr>
        <w:adjustRightInd w:val="0"/>
        <w:snapToGrid w:val="0"/>
        <w:spacing w:line="360" w:lineRule="auto"/>
        <w:ind w:firstLineChars="200" w:firstLine="480"/>
        <w:jc w:val="both"/>
        <w:rPr>
          <w:sz w:val="24"/>
        </w:rPr>
      </w:pPr>
      <w:r>
        <w:rPr>
          <w:rFonts w:hint="eastAsia"/>
          <w:sz w:val="24"/>
        </w:rPr>
        <w:t>2</w:t>
      </w:r>
      <w:r w:rsidRPr="0011464D">
        <w:rPr>
          <w:sz w:val="24"/>
        </w:rPr>
        <w:t xml:space="preserve">.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14:paraId="0A1B9480" w14:textId="77777777" w:rsidR="00354780" w:rsidRDefault="00354780" w:rsidP="00354780">
      <w:pPr>
        <w:adjustRightInd w:val="0"/>
        <w:snapToGrid w:val="0"/>
        <w:spacing w:line="360" w:lineRule="auto"/>
        <w:ind w:firstLineChars="200" w:firstLine="480"/>
        <w:jc w:val="both"/>
        <w:rPr>
          <w:sz w:val="24"/>
        </w:rPr>
      </w:pPr>
      <w:r>
        <w:rPr>
          <w:rFonts w:hint="eastAsia"/>
          <w:sz w:val="24"/>
        </w:rPr>
        <w:t>3</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p>
    <w:p w14:paraId="5F1CAD3E" w14:textId="77777777" w:rsidR="00354780" w:rsidRPr="001D30DF" w:rsidRDefault="00354780" w:rsidP="00354780"/>
    <w:p w14:paraId="6A2F0CF2" w14:textId="77777777" w:rsidR="0053644F" w:rsidRDefault="0053644F"/>
    <w:sectPr w:rsidR="0053644F" w:rsidSect="007B1244">
      <w:footerReference w:type="even" r:id="rId6"/>
      <w:footerReference w:type="default" r:id="rId7"/>
      <w:pgSz w:w="11906" w:h="16838" w:code="9"/>
      <w:pgMar w:top="1758" w:right="1588" w:bottom="1440" w:left="1588"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C682" w14:textId="77777777" w:rsidR="00447EDA" w:rsidRDefault="00447EDA">
      <w:r>
        <w:separator/>
      </w:r>
    </w:p>
  </w:endnote>
  <w:endnote w:type="continuationSeparator" w:id="0">
    <w:p w14:paraId="495663EC" w14:textId="77777777" w:rsidR="00447EDA" w:rsidRDefault="0044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65CF" w14:textId="77777777" w:rsidR="005B6F17" w:rsidRDefault="00354780" w:rsidP="00295DF9">
    <w:pPr>
      <w:pStyle w:val="a3"/>
      <w:framePr w:wrap="around" w:vAnchor="text" w:hAnchor="margin" w:xAlign="outside" w:y="1"/>
      <w:ind w:left="420"/>
      <w:rPr>
        <w:rStyle w:val="a5"/>
      </w:rPr>
    </w:pPr>
    <w:r>
      <w:rPr>
        <w:rStyle w:val="a5"/>
      </w:rPr>
      <w:fldChar w:fldCharType="begin"/>
    </w:r>
    <w:r>
      <w:rPr>
        <w:rStyle w:val="a5"/>
      </w:rPr>
      <w:instrText xml:space="preserve">PAGE  </w:instrText>
    </w:r>
    <w:r>
      <w:rPr>
        <w:rStyle w:val="a5"/>
      </w:rPr>
      <w:fldChar w:fldCharType="separate"/>
    </w:r>
    <w:r>
      <w:rPr>
        <w:rStyle w:val="a5"/>
        <w:noProof/>
      </w:rPr>
      <w:t>132</w:t>
    </w:r>
    <w:r>
      <w:rPr>
        <w:rStyle w:val="a5"/>
      </w:rPr>
      <w:fldChar w:fldCharType="end"/>
    </w:r>
  </w:p>
  <w:p w14:paraId="2103AE50" w14:textId="77777777" w:rsidR="005B6F17" w:rsidRDefault="005B6F17" w:rsidP="00295DF9">
    <w:pPr>
      <w:pStyle w:val="a3"/>
      <w:ind w:left="42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228E" w14:textId="77777777" w:rsidR="005B6F17" w:rsidRPr="00973E8B" w:rsidRDefault="00354780" w:rsidP="00295DF9">
    <w:pPr>
      <w:pStyle w:val="a3"/>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Pr="00973E8B">
      <w:rPr>
        <w:rStyle w:val="a5"/>
        <w:sz w:val="28"/>
        <w:szCs w:val="28"/>
      </w:rPr>
      <w:fldChar w:fldCharType="begin"/>
    </w:r>
    <w:r w:rsidRPr="00973E8B">
      <w:rPr>
        <w:rStyle w:val="a5"/>
        <w:sz w:val="28"/>
        <w:szCs w:val="28"/>
      </w:rPr>
      <w:instrText xml:space="preserve">PAGE  </w:instrText>
    </w:r>
    <w:r w:rsidRPr="00973E8B">
      <w:rPr>
        <w:rStyle w:val="a5"/>
        <w:sz w:val="28"/>
        <w:szCs w:val="28"/>
      </w:rPr>
      <w:fldChar w:fldCharType="separate"/>
    </w:r>
    <w:r w:rsidR="00561113">
      <w:rPr>
        <w:rStyle w:val="a5"/>
        <w:noProof/>
        <w:sz w:val="28"/>
        <w:szCs w:val="28"/>
      </w:rPr>
      <w:t>2</w:t>
    </w:r>
    <w:r w:rsidRPr="00973E8B">
      <w:rPr>
        <w:rStyle w:val="a5"/>
        <w:sz w:val="28"/>
        <w:szCs w:val="28"/>
      </w:rPr>
      <w:fldChar w:fldCharType="end"/>
    </w:r>
    <w:r>
      <w:rPr>
        <w:rStyle w:val="a5"/>
        <w:rFonts w:hint="eastAsia"/>
        <w:sz w:val="28"/>
        <w:szCs w:val="28"/>
      </w:rPr>
      <w:t xml:space="preserve"> </w:t>
    </w:r>
    <w:r>
      <w:rPr>
        <w:rStyle w:val="a5"/>
        <w:rFonts w:hint="eastAsia"/>
        <w:sz w:val="28"/>
        <w:szCs w:val="28"/>
      </w:rPr>
      <w:t>—</w:t>
    </w:r>
  </w:p>
  <w:p w14:paraId="28736DB7" w14:textId="77777777" w:rsidR="005B6F17" w:rsidRDefault="005B6F17" w:rsidP="00295DF9">
    <w:pPr>
      <w:pStyle w:val="a3"/>
      <w:ind w:left="420" w:right="360" w:firstLine="360"/>
      <w:jc w:val="center"/>
    </w:pPr>
  </w:p>
  <w:p w14:paraId="6F44CDEF" w14:textId="77777777" w:rsidR="005B6F17" w:rsidRDefault="005B6F17" w:rsidP="00295DF9">
    <w:pPr>
      <w:pStyle w:val="a3"/>
      <w:ind w:left="42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C4BC" w14:textId="77777777" w:rsidR="00447EDA" w:rsidRDefault="00447EDA">
      <w:r>
        <w:separator/>
      </w:r>
    </w:p>
  </w:footnote>
  <w:footnote w:type="continuationSeparator" w:id="0">
    <w:p w14:paraId="62BD180A" w14:textId="77777777" w:rsidR="00447EDA" w:rsidRDefault="00447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80"/>
    <w:rsid w:val="00022103"/>
    <w:rsid w:val="00215F5D"/>
    <w:rsid w:val="00354780"/>
    <w:rsid w:val="003C62C2"/>
    <w:rsid w:val="00447EDA"/>
    <w:rsid w:val="0053644F"/>
    <w:rsid w:val="00561113"/>
    <w:rsid w:val="005B4DE8"/>
    <w:rsid w:val="005B6F17"/>
    <w:rsid w:val="006967AF"/>
    <w:rsid w:val="006E1828"/>
    <w:rsid w:val="0077555B"/>
    <w:rsid w:val="0082108F"/>
    <w:rsid w:val="00831F2F"/>
    <w:rsid w:val="00875740"/>
    <w:rsid w:val="008943E8"/>
    <w:rsid w:val="008B28FD"/>
    <w:rsid w:val="008E7F9B"/>
    <w:rsid w:val="0091440A"/>
    <w:rsid w:val="00995414"/>
    <w:rsid w:val="009B78D8"/>
    <w:rsid w:val="00A47D76"/>
    <w:rsid w:val="00A511D5"/>
    <w:rsid w:val="00A74C06"/>
    <w:rsid w:val="00AA6D3A"/>
    <w:rsid w:val="00B33452"/>
    <w:rsid w:val="00BC32CF"/>
    <w:rsid w:val="00DE3281"/>
    <w:rsid w:val="00E3543C"/>
    <w:rsid w:val="00EE190A"/>
    <w:rsid w:val="00EF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244D1"/>
  <w15:chartTrackingRefBased/>
  <w15:docId w15:val="{D31A92A1-52FE-4C8F-BABF-B1131492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780"/>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qFormat/>
    <w:rsid w:val="00354780"/>
    <w:pPr>
      <w:tabs>
        <w:tab w:val="center" w:pos="4153"/>
        <w:tab w:val="right" w:pos="8306"/>
      </w:tabs>
      <w:snapToGrid w:val="0"/>
    </w:pPr>
    <w:rPr>
      <w:sz w:val="18"/>
      <w:szCs w:val="18"/>
      <w:lang w:val="x-none" w:eastAsia="x-none"/>
    </w:rPr>
  </w:style>
  <w:style w:type="character" w:customStyle="1" w:styleId="a4">
    <w:name w:val="页脚 字符"/>
    <w:basedOn w:val="a0"/>
    <w:uiPriority w:val="99"/>
    <w:semiHidden/>
    <w:rsid w:val="00354780"/>
    <w:rPr>
      <w:rFonts w:ascii="Times New Roman" w:eastAsia="宋体" w:hAnsi="Times New Roman" w:cs="Times New Roman"/>
      <w:sz w:val="18"/>
      <w:szCs w:val="18"/>
    </w:rPr>
  </w:style>
  <w:style w:type="character" w:customStyle="1" w:styleId="1">
    <w:name w:val="页脚 字符1"/>
    <w:link w:val="a3"/>
    <w:uiPriority w:val="99"/>
    <w:qFormat/>
    <w:rsid w:val="00354780"/>
    <w:rPr>
      <w:rFonts w:ascii="Times New Roman" w:eastAsia="宋体" w:hAnsi="Times New Roman" w:cs="Times New Roman"/>
      <w:sz w:val="18"/>
      <w:szCs w:val="18"/>
      <w:lang w:val="x-none" w:eastAsia="x-none"/>
    </w:rPr>
  </w:style>
  <w:style w:type="character" w:styleId="a5">
    <w:name w:val="page number"/>
    <w:basedOn w:val="a0"/>
    <w:rsid w:val="00354780"/>
  </w:style>
  <w:style w:type="paragraph" w:styleId="a6">
    <w:name w:val="header"/>
    <w:basedOn w:val="a"/>
    <w:link w:val="a7"/>
    <w:uiPriority w:val="99"/>
    <w:unhideWhenUsed/>
    <w:rsid w:val="008E7F9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E7F9B"/>
    <w:rPr>
      <w:rFonts w:ascii="Times New Roman" w:eastAsia="宋体" w:hAnsi="Times New Roman" w:cs="Times New Roman"/>
      <w:sz w:val="18"/>
      <w:szCs w:val="18"/>
    </w:rPr>
  </w:style>
  <w:style w:type="character" w:styleId="a8">
    <w:name w:val="annotation reference"/>
    <w:basedOn w:val="a0"/>
    <w:uiPriority w:val="99"/>
    <w:semiHidden/>
    <w:unhideWhenUsed/>
    <w:rsid w:val="00995414"/>
    <w:rPr>
      <w:sz w:val="21"/>
      <w:szCs w:val="21"/>
    </w:rPr>
  </w:style>
  <w:style w:type="paragraph" w:styleId="a9">
    <w:name w:val="annotation text"/>
    <w:basedOn w:val="a"/>
    <w:link w:val="aa"/>
    <w:uiPriority w:val="99"/>
    <w:semiHidden/>
    <w:unhideWhenUsed/>
    <w:rsid w:val="00995414"/>
  </w:style>
  <w:style w:type="character" w:customStyle="1" w:styleId="aa">
    <w:name w:val="批注文字 字符"/>
    <w:basedOn w:val="a0"/>
    <w:link w:val="a9"/>
    <w:uiPriority w:val="99"/>
    <w:semiHidden/>
    <w:rsid w:val="00995414"/>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995414"/>
    <w:rPr>
      <w:b/>
      <w:bCs/>
    </w:rPr>
  </w:style>
  <w:style w:type="character" w:customStyle="1" w:styleId="ac">
    <w:name w:val="批注主题 字符"/>
    <w:basedOn w:val="aa"/>
    <w:link w:val="ab"/>
    <w:uiPriority w:val="99"/>
    <w:semiHidden/>
    <w:rsid w:val="00995414"/>
    <w:rPr>
      <w:rFonts w:ascii="Times New Roman" w:eastAsia="宋体" w:hAnsi="Times New Roman" w:cs="Times New Roman"/>
      <w:b/>
      <w:bCs/>
      <w:szCs w:val="24"/>
    </w:rPr>
  </w:style>
  <w:style w:type="paragraph" w:styleId="ad">
    <w:name w:val="Balloon Text"/>
    <w:basedOn w:val="a"/>
    <w:link w:val="ae"/>
    <w:uiPriority w:val="99"/>
    <w:semiHidden/>
    <w:unhideWhenUsed/>
    <w:rsid w:val="00995414"/>
    <w:rPr>
      <w:sz w:val="18"/>
      <w:szCs w:val="18"/>
    </w:rPr>
  </w:style>
  <w:style w:type="character" w:customStyle="1" w:styleId="ae">
    <w:name w:val="批注框文本 字符"/>
    <w:basedOn w:val="a0"/>
    <w:link w:val="ad"/>
    <w:uiPriority w:val="99"/>
    <w:semiHidden/>
    <w:rsid w:val="00995414"/>
    <w:rPr>
      <w:rFonts w:ascii="Times New Roman" w:eastAsia="宋体" w:hAnsi="Times New Roman" w:cs="Times New Roman"/>
      <w:sz w:val="18"/>
      <w:szCs w:val="18"/>
    </w:rPr>
  </w:style>
  <w:style w:type="paragraph" w:styleId="af">
    <w:name w:val="Revision"/>
    <w:hidden/>
    <w:uiPriority w:val="99"/>
    <w:semiHidden/>
    <w:rsid w:val="006967A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1147</Words>
  <Characters>1342</Characters>
  <Application>Microsoft Office Word</Application>
  <DocSecurity>0</DocSecurity>
  <Lines>111</Lines>
  <Paragraphs>138</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18</cp:revision>
  <dcterms:created xsi:type="dcterms:W3CDTF">2025-02-28T07:25:00Z</dcterms:created>
  <dcterms:modified xsi:type="dcterms:W3CDTF">2025-03-26T10:27:00Z</dcterms:modified>
</cp:coreProperties>
</file>