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2405" w14:textId="77777777" w:rsidR="00236FB4" w:rsidRPr="005740E6" w:rsidRDefault="00236FB4" w:rsidP="00236FB4">
      <w:pPr>
        <w:adjustRightInd w:val="0"/>
        <w:snapToGrid w:val="0"/>
        <w:spacing w:line="360" w:lineRule="auto"/>
        <w:jc w:val="center"/>
        <w:rPr>
          <w:rFonts w:ascii="方正小标宋简体" w:eastAsia="方正小标宋简体"/>
          <w:sz w:val="44"/>
          <w:szCs w:val="44"/>
        </w:rPr>
      </w:pPr>
      <w:bookmarkStart w:id="0" w:name="_Toc308442097"/>
      <w:r w:rsidRPr="00DA02AE">
        <w:rPr>
          <w:rFonts w:ascii="方正小标宋简体" w:eastAsia="方正小标宋简体" w:hint="eastAsia"/>
          <w:sz w:val="44"/>
          <w:szCs w:val="44"/>
        </w:rPr>
        <w:t>兽药体外哺乳动物细胞染色体畸变试验技术指导原则</w:t>
      </w:r>
    </w:p>
    <w:bookmarkEnd w:id="0"/>
    <w:p w14:paraId="3113BF6A" w14:textId="77777777" w:rsidR="00236FB4" w:rsidRPr="005740E6" w:rsidRDefault="00236FB4" w:rsidP="00236FB4">
      <w:pPr>
        <w:adjustRightInd w:val="0"/>
        <w:snapToGrid w:val="0"/>
        <w:spacing w:line="360" w:lineRule="auto"/>
        <w:ind w:firstLineChars="200" w:firstLine="560"/>
        <w:jc w:val="both"/>
        <w:rPr>
          <w:rFonts w:ascii="黑体" w:eastAsia="黑体" w:hAnsi="黑体" w:hint="eastAsia"/>
          <w:noProof/>
          <w:sz w:val="28"/>
          <w:szCs w:val="28"/>
        </w:rPr>
      </w:pPr>
      <w:r w:rsidRPr="005740E6">
        <w:rPr>
          <w:rFonts w:ascii="黑体" w:eastAsia="黑体" w:hAnsi="黑体" w:hint="eastAsia"/>
          <w:noProof/>
          <w:sz w:val="28"/>
          <w:szCs w:val="28"/>
        </w:rPr>
        <w:t>一、概述</w:t>
      </w:r>
    </w:p>
    <w:p w14:paraId="5DA3190D" w14:textId="3F213631"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r w:rsidRPr="005740E6">
        <w:rPr>
          <w:rFonts w:ascii="黑体" w:eastAsia="黑体" w:hAnsi="黑体" w:hint="eastAsia"/>
          <w:noProof/>
          <w:sz w:val="24"/>
        </w:rPr>
        <w:t>（一）目的</w:t>
      </w:r>
    </w:p>
    <w:p w14:paraId="5504F5DE"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体外哺乳动物细胞染色体畸变试验是一种通过检测受试物诱发体外培养的哺乳动物细胞染色体结构畸变的能力以评价</w:t>
      </w:r>
      <w:proofErr w:type="gramStart"/>
      <w:r w:rsidRPr="00BE1C44">
        <w:rPr>
          <w:rFonts w:hint="eastAsia"/>
          <w:sz w:val="24"/>
        </w:rPr>
        <w:t>受试物致突变性</w:t>
      </w:r>
      <w:proofErr w:type="gramEnd"/>
      <w:r w:rsidRPr="00BE1C44">
        <w:rPr>
          <w:rFonts w:hint="eastAsia"/>
          <w:sz w:val="24"/>
        </w:rPr>
        <w:t>的方法。在加入和不加入外源代谢活化系统的条件下，使培养的哺乳动物细胞暴露于受试物中，应用中期分裂相阻断剂处理，使细胞停止在中期分裂相，随后收获细胞，制片，染色，分析细胞染色体畸变，从而判断受试物是否具有致突变性。</w:t>
      </w:r>
    </w:p>
    <w:p w14:paraId="3A591FF0"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本方法适用于检测染色体断裂剂，不适用于检测非整倍体诱导剂。</w:t>
      </w:r>
    </w:p>
    <w:p w14:paraId="76F70A5C" w14:textId="4EAA4FA8"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r w:rsidRPr="005740E6">
        <w:rPr>
          <w:rFonts w:ascii="黑体" w:eastAsia="黑体" w:hAnsi="黑体" w:hint="eastAsia"/>
          <w:noProof/>
          <w:sz w:val="24"/>
        </w:rPr>
        <w:t>（二）适用范围</w:t>
      </w:r>
    </w:p>
    <w:p w14:paraId="431DCA12" w14:textId="3D5D85AC" w:rsidR="00FD463D" w:rsidRDefault="00405B94" w:rsidP="00236FB4">
      <w:pPr>
        <w:adjustRightInd w:val="0"/>
        <w:snapToGrid w:val="0"/>
        <w:spacing w:line="360" w:lineRule="auto"/>
        <w:ind w:firstLineChars="200" w:firstLine="480"/>
        <w:jc w:val="both"/>
        <w:rPr>
          <w:kern w:val="0"/>
          <w:sz w:val="24"/>
        </w:rPr>
      </w:pPr>
      <w:r w:rsidRPr="00405B94">
        <w:rPr>
          <w:rFonts w:hint="eastAsia"/>
          <w:kern w:val="0"/>
          <w:sz w:val="24"/>
        </w:rPr>
        <w:t>本指导原则适用于兽用化学药物、兽用中药和兽用天然药物。消毒剂参考使用</w:t>
      </w:r>
      <w:r w:rsidR="00BC3913">
        <w:rPr>
          <w:rFonts w:hint="eastAsia"/>
          <w:kern w:val="0"/>
          <w:sz w:val="24"/>
        </w:rPr>
        <w:t>。</w:t>
      </w:r>
    </w:p>
    <w:p w14:paraId="5B4AF0F1" w14:textId="77777777" w:rsidR="00A950C0" w:rsidRPr="00D97350" w:rsidRDefault="00A950C0" w:rsidP="00A950C0">
      <w:pPr>
        <w:adjustRightInd w:val="0"/>
        <w:snapToGrid w:val="0"/>
        <w:spacing w:line="360" w:lineRule="auto"/>
        <w:ind w:firstLineChars="200" w:firstLine="560"/>
        <w:jc w:val="both"/>
        <w:rPr>
          <w:rFonts w:ascii="黑体" w:eastAsia="黑体" w:hAnsi="黑体" w:hint="eastAsia"/>
          <w:sz w:val="28"/>
          <w:szCs w:val="28"/>
        </w:rPr>
      </w:pPr>
      <w:r w:rsidRPr="00D97350">
        <w:rPr>
          <w:rFonts w:ascii="黑体" w:eastAsia="黑体" w:hAnsi="黑体" w:hint="eastAsia"/>
          <w:sz w:val="28"/>
          <w:szCs w:val="28"/>
        </w:rPr>
        <w:t>二、基本原则</w:t>
      </w:r>
    </w:p>
    <w:p w14:paraId="650A255D" w14:textId="77777777" w:rsidR="00A950C0" w:rsidRPr="000500D4" w:rsidRDefault="00A950C0" w:rsidP="00A950C0">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（一）实验管理</w:t>
      </w:r>
    </w:p>
    <w:p w14:paraId="51485C7E" w14:textId="20B30951" w:rsidR="00A950C0" w:rsidRPr="000500D4" w:rsidRDefault="00A950C0" w:rsidP="00A950C0">
      <w:pPr>
        <w:adjustRightInd w:val="0"/>
        <w:snapToGrid w:val="0"/>
        <w:spacing w:line="360" w:lineRule="auto"/>
        <w:ind w:firstLineChars="200" w:firstLine="480"/>
        <w:jc w:val="both"/>
        <w:rPr>
          <w:sz w:val="24"/>
        </w:rPr>
      </w:pPr>
      <w:r w:rsidRPr="00A950C0">
        <w:rPr>
          <w:rFonts w:hint="eastAsia"/>
          <w:sz w:val="24"/>
        </w:rPr>
        <w:t>兽药体外哺乳动物细胞染色体畸变试验</w:t>
      </w:r>
      <w:r w:rsidRPr="000500D4">
        <w:rPr>
          <w:rFonts w:hint="eastAsia"/>
          <w:sz w:val="24"/>
        </w:rPr>
        <w:t>须执行《兽药非临床研究质量管理规范》或《药物非临床研究质量管理规范》。</w:t>
      </w:r>
    </w:p>
    <w:p w14:paraId="60112357" w14:textId="77777777" w:rsidR="00A950C0" w:rsidRPr="000500D4" w:rsidRDefault="00A950C0" w:rsidP="00A950C0">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（二）具体问题具体分析</w:t>
      </w:r>
    </w:p>
    <w:p w14:paraId="0C85AB15" w14:textId="55F3AA2C" w:rsidR="00A950C0" w:rsidRPr="000500D4" w:rsidRDefault="00A950C0" w:rsidP="00A950C0">
      <w:pPr>
        <w:adjustRightInd w:val="0"/>
        <w:snapToGrid w:val="0"/>
        <w:spacing w:line="360" w:lineRule="auto"/>
        <w:ind w:firstLineChars="200" w:firstLine="480"/>
        <w:jc w:val="both"/>
        <w:rPr>
          <w:sz w:val="24"/>
        </w:rPr>
      </w:pPr>
      <w:r w:rsidRPr="00A950C0">
        <w:rPr>
          <w:rFonts w:hint="eastAsia"/>
          <w:sz w:val="24"/>
        </w:rPr>
        <w:t>兽药体外哺乳动物细胞染色体畸变试验</w:t>
      </w:r>
      <w:r w:rsidRPr="000500D4">
        <w:rPr>
          <w:rFonts w:hint="eastAsia"/>
          <w:sz w:val="24"/>
        </w:rPr>
        <w:t>的设计，应在对受试物认知的基础上，遵循“具体问题具体分析”的原则。应根据受试物的结构特点、理化性质、已有的药理毒理研究信息、适应证和适用</w:t>
      </w:r>
      <w:proofErr w:type="gramStart"/>
      <w:r w:rsidRPr="000500D4">
        <w:rPr>
          <w:rFonts w:hint="eastAsia"/>
          <w:sz w:val="24"/>
        </w:rPr>
        <w:t>靶动物</w:t>
      </w:r>
      <w:proofErr w:type="gramEnd"/>
      <w:r w:rsidRPr="000500D4">
        <w:rPr>
          <w:rFonts w:hint="eastAsia"/>
          <w:sz w:val="24"/>
        </w:rPr>
        <w:t>特点、临床用药方案等选择合理的试验方法，设计适宜的试验方案，并综合上述信息对试验结果进行全面分析评价。</w:t>
      </w:r>
    </w:p>
    <w:p w14:paraId="2CA75B1D" w14:textId="47DDEC3A" w:rsidR="00236FB4" w:rsidRPr="005740E6" w:rsidRDefault="00C16659" w:rsidP="00236FB4">
      <w:pPr>
        <w:adjustRightInd w:val="0"/>
        <w:snapToGrid w:val="0"/>
        <w:spacing w:line="360" w:lineRule="auto"/>
        <w:ind w:firstLineChars="200" w:firstLine="560"/>
        <w:jc w:val="both"/>
        <w:rPr>
          <w:rFonts w:ascii="黑体" w:eastAsia="黑体" w:hAnsi="黑体" w:hint="eastAsia"/>
          <w:noProof/>
          <w:sz w:val="28"/>
          <w:szCs w:val="28"/>
        </w:rPr>
      </w:pPr>
      <w:r>
        <w:rPr>
          <w:rFonts w:ascii="黑体" w:eastAsia="黑体" w:hAnsi="黑体" w:hint="eastAsia"/>
          <w:noProof/>
          <w:sz w:val="28"/>
          <w:szCs w:val="28"/>
        </w:rPr>
        <w:t>三</w:t>
      </w:r>
      <w:r w:rsidR="00236FB4" w:rsidRPr="005740E6">
        <w:rPr>
          <w:rFonts w:ascii="黑体" w:eastAsia="黑体" w:hAnsi="黑体" w:hint="eastAsia"/>
          <w:noProof/>
          <w:sz w:val="28"/>
          <w:szCs w:val="28"/>
        </w:rPr>
        <w:t>、试验设计</w:t>
      </w:r>
    </w:p>
    <w:p w14:paraId="2B5F38FC"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r w:rsidRPr="005740E6">
        <w:rPr>
          <w:rFonts w:ascii="黑体" w:eastAsia="黑体" w:hAnsi="黑体" w:hint="eastAsia"/>
          <w:noProof/>
          <w:sz w:val="24"/>
        </w:rPr>
        <w:t>（一）细胞</w:t>
      </w:r>
    </w:p>
    <w:p w14:paraId="7F19E007" w14:textId="77777777" w:rsidR="00236FB4" w:rsidRPr="00286EA0" w:rsidRDefault="00236FB4" w:rsidP="00236FB4">
      <w:pPr>
        <w:adjustRightInd w:val="0"/>
        <w:snapToGrid w:val="0"/>
        <w:spacing w:line="360" w:lineRule="auto"/>
        <w:ind w:firstLineChars="200" w:firstLine="480"/>
        <w:jc w:val="both"/>
        <w:rPr>
          <w:highlight w:val="yellow"/>
        </w:rPr>
      </w:pPr>
      <w:r w:rsidRPr="00286EA0">
        <w:rPr>
          <w:rFonts w:hint="eastAsia"/>
          <w:sz w:val="24"/>
        </w:rPr>
        <w:t>可采用已建立的细胞系</w:t>
      </w:r>
      <w:r w:rsidRPr="00286EA0">
        <w:rPr>
          <w:sz w:val="24"/>
        </w:rPr>
        <w:t>[</w:t>
      </w:r>
      <w:r w:rsidRPr="00286EA0">
        <w:rPr>
          <w:rFonts w:hint="eastAsia"/>
          <w:sz w:val="24"/>
        </w:rPr>
        <w:t>如中国仓鼠卵巢（</w:t>
      </w:r>
      <w:r w:rsidRPr="00286EA0">
        <w:rPr>
          <w:sz w:val="24"/>
        </w:rPr>
        <w:t>CHO</w:t>
      </w:r>
      <w:r w:rsidRPr="00286EA0">
        <w:rPr>
          <w:rFonts w:hint="eastAsia"/>
          <w:sz w:val="24"/>
        </w:rPr>
        <w:t>）细胞、中国仓鼠肺（</w:t>
      </w:r>
      <w:r w:rsidRPr="00286EA0">
        <w:rPr>
          <w:sz w:val="24"/>
        </w:rPr>
        <w:t>CHL</w:t>
      </w:r>
      <w:r w:rsidRPr="00286EA0">
        <w:rPr>
          <w:rFonts w:hint="eastAsia"/>
          <w:sz w:val="24"/>
        </w:rPr>
        <w:t>）细胞</w:t>
      </w:r>
      <w:r w:rsidRPr="00286EA0">
        <w:rPr>
          <w:sz w:val="24"/>
        </w:rPr>
        <w:t>]</w:t>
      </w:r>
      <w:r w:rsidRPr="00286EA0">
        <w:rPr>
          <w:rFonts w:hint="eastAsia"/>
          <w:sz w:val="24"/>
        </w:rPr>
        <w:t>，也可采用原代培养细胞（如哺乳动物外周血淋巴细胞）。一般情况下，推荐使用</w:t>
      </w:r>
      <w:r w:rsidRPr="00286EA0">
        <w:rPr>
          <w:sz w:val="24"/>
        </w:rPr>
        <w:t>CHL</w:t>
      </w:r>
      <w:r w:rsidRPr="00286EA0">
        <w:rPr>
          <w:rFonts w:hint="eastAsia"/>
          <w:sz w:val="24"/>
        </w:rPr>
        <w:t>细胞。所使用的细胞应在生长性能、染色体数目和核型、染色体畸</w:t>
      </w:r>
      <w:r w:rsidRPr="00286EA0">
        <w:rPr>
          <w:rFonts w:hint="eastAsia"/>
          <w:sz w:val="24"/>
        </w:rPr>
        <w:lastRenderedPageBreak/>
        <w:t>变自发频率等方面基本保持稳定，细胞周期时间应与公开发表的细胞特征一致。细胞系需定期检查核型和染色体数目、有无支原体污染等。</w:t>
      </w:r>
    </w:p>
    <w:p w14:paraId="1EB46D7F" w14:textId="2C17A1F9" w:rsidR="00236FB4" w:rsidRPr="00245359" w:rsidRDefault="00236FB4" w:rsidP="00236FB4">
      <w:pPr>
        <w:adjustRightInd w:val="0"/>
        <w:snapToGrid w:val="0"/>
        <w:spacing w:line="360" w:lineRule="auto"/>
        <w:ind w:firstLineChars="200" w:firstLine="480"/>
        <w:jc w:val="both"/>
        <w:rPr>
          <w:rFonts w:hint="eastAsia"/>
          <w:noProof/>
          <w:sz w:val="24"/>
        </w:rPr>
      </w:pPr>
      <w:r w:rsidRPr="00245359">
        <w:rPr>
          <w:rFonts w:hint="eastAsia"/>
          <w:noProof/>
          <w:sz w:val="24"/>
        </w:rPr>
        <w:t>（二）受试物</w:t>
      </w:r>
    </w:p>
    <w:p w14:paraId="0435A6EF" w14:textId="77777777" w:rsidR="00510DB1" w:rsidRPr="00245359" w:rsidRDefault="00510DB1" w:rsidP="00510DB1">
      <w:pPr>
        <w:adjustRightInd w:val="0"/>
        <w:snapToGrid w:val="0"/>
        <w:spacing w:line="360" w:lineRule="auto"/>
        <w:ind w:firstLineChars="200" w:firstLine="480"/>
        <w:rPr>
          <w:sz w:val="24"/>
        </w:rPr>
      </w:pPr>
      <w:r w:rsidRPr="00245359">
        <w:rPr>
          <w:rFonts w:hint="eastAsia"/>
          <w:sz w:val="24"/>
        </w:rPr>
        <w:t>化学药物：受试物应采用工艺相对稳定、纯度和杂质含量能反映临床试验拟用样品和</w:t>
      </w:r>
      <w:r w:rsidRPr="00245359">
        <w:rPr>
          <w:sz w:val="24"/>
        </w:rPr>
        <w:t>/</w:t>
      </w:r>
      <w:r w:rsidRPr="00245359">
        <w:rPr>
          <w:rFonts w:hint="eastAsia"/>
          <w:sz w:val="24"/>
        </w:rPr>
        <w:t>或上市样品质量和安全性的样品。应注明受试物名称、来源、批号、生产日期、含量（或规格）、保存条件、有效期及配制方法等，并提供质量检验报告。试验中所用溶媒和</w:t>
      </w:r>
      <w:r w:rsidRPr="00245359">
        <w:rPr>
          <w:sz w:val="24"/>
        </w:rPr>
        <w:t>/</w:t>
      </w:r>
      <w:r w:rsidRPr="00245359">
        <w:rPr>
          <w:rFonts w:hint="eastAsia"/>
          <w:sz w:val="24"/>
        </w:rPr>
        <w:t>或辅料应标明名称、标准、批号、有效期、规格和生产单位等，并符合试验要求。</w:t>
      </w:r>
    </w:p>
    <w:p w14:paraId="1951E376" w14:textId="77777777" w:rsidR="00510DB1" w:rsidRPr="00245359" w:rsidRDefault="00510DB1" w:rsidP="00510DB1">
      <w:pPr>
        <w:adjustRightInd w:val="0"/>
        <w:snapToGrid w:val="0"/>
        <w:spacing w:line="360" w:lineRule="auto"/>
        <w:ind w:firstLineChars="200" w:firstLine="480"/>
        <w:rPr>
          <w:sz w:val="24"/>
        </w:rPr>
      </w:pPr>
      <w:r w:rsidRPr="00245359">
        <w:rPr>
          <w:rFonts w:hint="eastAsia"/>
          <w:sz w:val="24"/>
        </w:rPr>
        <w:t>中药、天然药物：受试物应采用能充分代表临床试验拟用样品和</w:t>
      </w:r>
      <w:r w:rsidRPr="00245359">
        <w:rPr>
          <w:sz w:val="24"/>
        </w:rPr>
        <w:t>/</w:t>
      </w:r>
      <w:r w:rsidRPr="00245359">
        <w:rPr>
          <w:rFonts w:hint="eastAsia"/>
          <w:sz w:val="24"/>
        </w:rPr>
        <w:t>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w:t>
      </w:r>
      <w:r w:rsidRPr="00245359">
        <w:rPr>
          <w:sz w:val="24"/>
        </w:rPr>
        <w:t>/</w:t>
      </w:r>
      <w:r w:rsidRPr="00245359">
        <w:rPr>
          <w:rFonts w:hint="eastAsia"/>
          <w:sz w:val="24"/>
        </w:rPr>
        <w:t>或辅料应标明名称、标准、批号、有效期、规格及生产单位。</w:t>
      </w:r>
    </w:p>
    <w:p w14:paraId="758FF386" w14:textId="77777777" w:rsidR="00510DB1" w:rsidRPr="00245359" w:rsidRDefault="00510DB1" w:rsidP="00510DB1">
      <w:pPr>
        <w:adjustRightInd w:val="0"/>
        <w:snapToGrid w:val="0"/>
        <w:spacing w:line="360" w:lineRule="auto"/>
        <w:ind w:firstLineChars="200" w:firstLine="480"/>
        <w:rPr>
          <w:sz w:val="24"/>
        </w:rPr>
      </w:pPr>
      <w:r w:rsidRPr="00245359">
        <w:rPr>
          <w:rFonts w:hint="eastAsia"/>
          <w:sz w:val="24"/>
        </w:rPr>
        <w:t>在药物研发的过程中，若受试物的工艺发生变化可能影响其安全性的，应进行相应的安全性研究。</w:t>
      </w:r>
    </w:p>
    <w:p w14:paraId="2E7E4B75" w14:textId="77777777" w:rsidR="00510DB1" w:rsidRPr="00245359" w:rsidRDefault="00510DB1" w:rsidP="00510DB1">
      <w:pPr>
        <w:adjustRightInd w:val="0"/>
        <w:snapToGrid w:val="0"/>
        <w:spacing w:line="360" w:lineRule="auto"/>
        <w:ind w:firstLineChars="200" w:firstLine="480"/>
        <w:rPr>
          <w:sz w:val="24"/>
        </w:rPr>
      </w:pPr>
      <w:r w:rsidRPr="00245359">
        <w:rPr>
          <w:rFonts w:hint="eastAsia"/>
          <w:sz w:val="24"/>
        </w:rPr>
        <w:t>化学药物试验过程中应进行受试物样品分析，并提供样品分析报告。成分基本清楚的中药、天然药物也应进行受试物样品分析。</w:t>
      </w:r>
    </w:p>
    <w:p w14:paraId="6E56A986" w14:textId="572EFEFF" w:rsidR="00236FB4" w:rsidRPr="00BE1C44" w:rsidRDefault="00236FB4" w:rsidP="00236FB4">
      <w:pPr>
        <w:adjustRightInd w:val="0"/>
        <w:snapToGrid w:val="0"/>
        <w:spacing w:line="360" w:lineRule="auto"/>
        <w:ind w:firstLineChars="200" w:firstLine="480"/>
        <w:jc w:val="both"/>
      </w:pPr>
      <w:r w:rsidRPr="00BE1C44">
        <w:rPr>
          <w:rFonts w:hint="eastAsia"/>
          <w:sz w:val="24"/>
        </w:rPr>
        <w:t>固体</w:t>
      </w:r>
      <w:r w:rsidR="00286EA0">
        <w:rPr>
          <w:rFonts w:hint="eastAsia"/>
          <w:sz w:val="24"/>
        </w:rPr>
        <w:t>受试物</w:t>
      </w:r>
      <w:r w:rsidRPr="00BE1C44">
        <w:rPr>
          <w:rFonts w:hint="eastAsia"/>
          <w:sz w:val="24"/>
        </w:rPr>
        <w:t>应溶于或悬浮于适合的溶剂中，使用前稀释至适当浓度；液体</w:t>
      </w:r>
      <w:r w:rsidR="00286EA0">
        <w:rPr>
          <w:rFonts w:hint="eastAsia"/>
          <w:sz w:val="24"/>
        </w:rPr>
        <w:t>受试物</w:t>
      </w:r>
      <w:r w:rsidRPr="00BE1C44">
        <w:rPr>
          <w:rFonts w:hint="eastAsia"/>
          <w:sz w:val="24"/>
        </w:rPr>
        <w:t>可以直接使用和</w:t>
      </w:r>
      <w:r w:rsidRPr="00BE1C44">
        <w:rPr>
          <w:sz w:val="24"/>
        </w:rPr>
        <w:t>/</w:t>
      </w:r>
      <w:r w:rsidRPr="00BE1C44">
        <w:rPr>
          <w:rFonts w:hint="eastAsia"/>
          <w:sz w:val="24"/>
        </w:rPr>
        <w:t>或用前稀释至适当浓度；</w:t>
      </w:r>
      <w:r w:rsidRPr="001204DD">
        <w:rPr>
          <w:rFonts w:hint="eastAsia"/>
          <w:sz w:val="24"/>
        </w:rPr>
        <w:t>气体或易挥发的</w:t>
      </w:r>
      <w:r w:rsidR="00286EA0">
        <w:rPr>
          <w:rFonts w:hint="eastAsia"/>
          <w:sz w:val="24"/>
        </w:rPr>
        <w:t>受试物</w:t>
      </w:r>
      <w:r w:rsidRPr="001204DD">
        <w:rPr>
          <w:rFonts w:hint="eastAsia"/>
          <w:sz w:val="24"/>
        </w:rPr>
        <w:t>应采用适当方法，如用封闭式容器。</w:t>
      </w:r>
      <w:r w:rsidRPr="00BE1C44">
        <w:rPr>
          <w:rFonts w:hint="eastAsia"/>
          <w:sz w:val="24"/>
        </w:rPr>
        <w:t>所用溶媒和</w:t>
      </w:r>
      <w:r w:rsidRPr="00BE1C44">
        <w:rPr>
          <w:sz w:val="24"/>
        </w:rPr>
        <w:t>/</w:t>
      </w:r>
      <w:r w:rsidRPr="00BE1C44">
        <w:rPr>
          <w:rFonts w:hint="eastAsia"/>
          <w:sz w:val="24"/>
        </w:rPr>
        <w:t>或辅料应选择无致突变性、不与</w:t>
      </w:r>
      <w:r w:rsidR="00286EA0">
        <w:rPr>
          <w:rFonts w:hint="eastAsia"/>
          <w:sz w:val="24"/>
        </w:rPr>
        <w:t>受试物</w:t>
      </w:r>
      <w:r w:rsidRPr="00BE1C44">
        <w:rPr>
          <w:rFonts w:hint="eastAsia"/>
          <w:sz w:val="24"/>
        </w:rPr>
        <w:t>发生化学反应且不影响细胞存活和</w:t>
      </w:r>
      <w:r w:rsidRPr="005740E6">
        <w:rPr>
          <w:rFonts w:hint="eastAsia"/>
          <w:sz w:val="24"/>
        </w:rPr>
        <w:t>代谢活化系统</w:t>
      </w:r>
      <w:r w:rsidRPr="00BE1C44">
        <w:rPr>
          <w:rFonts w:hint="eastAsia"/>
          <w:sz w:val="24"/>
        </w:rPr>
        <w:t>活性的溶剂。</w:t>
      </w:r>
    </w:p>
    <w:p w14:paraId="0E3D9B6D"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r w:rsidRPr="005740E6">
        <w:rPr>
          <w:rFonts w:ascii="黑体" w:eastAsia="黑体" w:hAnsi="黑体" w:hint="eastAsia"/>
          <w:noProof/>
          <w:sz w:val="24"/>
        </w:rPr>
        <w:t>（三）试验分组</w:t>
      </w:r>
    </w:p>
    <w:p w14:paraId="6C806B54" w14:textId="40F9672F" w:rsidR="00236FB4" w:rsidRPr="00BE1C44" w:rsidRDefault="00236FB4" w:rsidP="00236FB4">
      <w:pPr>
        <w:adjustRightInd w:val="0"/>
        <w:snapToGrid w:val="0"/>
        <w:spacing w:line="360" w:lineRule="auto"/>
        <w:ind w:firstLineChars="200" w:firstLine="480"/>
        <w:jc w:val="both"/>
      </w:pPr>
      <w:r w:rsidRPr="00BE1C44">
        <w:rPr>
          <w:rFonts w:hint="eastAsia"/>
          <w:sz w:val="24"/>
        </w:rPr>
        <w:t>试验应同时设置</w:t>
      </w:r>
      <w:r w:rsidR="00286EA0">
        <w:rPr>
          <w:rFonts w:hint="eastAsia"/>
          <w:sz w:val="24"/>
        </w:rPr>
        <w:t>受试物</w:t>
      </w:r>
      <w:r w:rsidRPr="00BE1C44">
        <w:rPr>
          <w:rFonts w:hint="eastAsia"/>
          <w:sz w:val="24"/>
        </w:rPr>
        <w:t>组、阳性对照组和阴性对照组（溶剂对照和</w:t>
      </w:r>
      <w:r w:rsidRPr="00BE1C44">
        <w:rPr>
          <w:sz w:val="24"/>
        </w:rPr>
        <w:t>/</w:t>
      </w:r>
      <w:r w:rsidRPr="00BE1C44">
        <w:rPr>
          <w:rFonts w:hint="eastAsia"/>
          <w:sz w:val="24"/>
        </w:rPr>
        <w:t>或空白对照）。</w:t>
      </w:r>
      <w:bookmarkStart w:id="1" w:name="_Hlk170483119"/>
    </w:p>
    <w:p w14:paraId="15A26157"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各组均应分别在代谢活化系统存在和不存在平行条件下测试。</w:t>
      </w:r>
      <w:bookmarkEnd w:id="1"/>
    </w:p>
    <w:p w14:paraId="117D08C5" w14:textId="3AF85B27" w:rsidR="00236FB4" w:rsidRPr="009A0E46" w:rsidRDefault="00236FB4" w:rsidP="00236FB4">
      <w:pPr>
        <w:adjustRightInd w:val="0"/>
        <w:snapToGrid w:val="0"/>
        <w:spacing w:line="360" w:lineRule="auto"/>
        <w:ind w:firstLineChars="200" w:firstLine="480"/>
        <w:jc w:val="both"/>
        <w:rPr>
          <w:noProof/>
          <w:sz w:val="24"/>
        </w:rPr>
      </w:pPr>
      <w:r w:rsidRPr="009A0E46">
        <w:rPr>
          <w:noProof/>
          <w:sz w:val="24"/>
        </w:rPr>
        <w:t>1.</w:t>
      </w:r>
      <w:r w:rsidR="00286EA0">
        <w:rPr>
          <w:noProof/>
          <w:sz w:val="24"/>
        </w:rPr>
        <w:t>受试物</w:t>
      </w:r>
      <w:r w:rsidRPr="009A0E46">
        <w:rPr>
          <w:noProof/>
          <w:sz w:val="24"/>
        </w:rPr>
        <w:t>组</w:t>
      </w:r>
    </w:p>
    <w:p w14:paraId="04C62FF5"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lastRenderedPageBreak/>
        <w:t>至少应包含</w:t>
      </w:r>
      <w:r w:rsidRPr="00BE1C44">
        <w:rPr>
          <w:sz w:val="24"/>
        </w:rPr>
        <w:t>3</w:t>
      </w:r>
      <w:r w:rsidRPr="00BE1C44">
        <w:rPr>
          <w:rFonts w:hint="eastAsia"/>
          <w:sz w:val="24"/>
        </w:rPr>
        <w:t>个可用于结果分析的浓度。每一浓度一般平行</w:t>
      </w:r>
      <w:r w:rsidRPr="00BE1C44">
        <w:rPr>
          <w:sz w:val="24"/>
        </w:rPr>
        <w:t>2</w:t>
      </w:r>
      <w:proofErr w:type="gramStart"/>
      <w:r w:rsidRPr="00BE1C44">
        <w:rPr>
          <w:rFonts w:hint="eastAsia"/>
          <w:sz w:val="24"/>
        </w:rPr>
        <w:t>皿</w:t>
      </w:r>
      <w:proofErr w:type="gramEnd"/>
      <w:r w:rsidRPr="00BE1C44">
        <w:rPr>
          <w:rFonts w:hint="eastAsia"/>
          <w:sz w:val="24"/>
        </w:rPr>
        <w:t>；若能获得足够细胞数，可用单</w:t>
      </w:r>
      <w:proofErr w:type="gramStart"/>
      <w:r w:rsidRPr="00BE1C44">
        <w:rPr>
          <w:rFonts w:hint="eastAsia"/>
          <w:sz w:val="24"/>
        </w:rPr>
        <w:t>皿</w:t>
      </w:r>
      <w:proofErr w:type="gramEnd"/>
      <w:r w:rsidRPr="00BE1C44">
        <w:rPr>
          <w:rFonts w:hint="eastAsia"/>
          <w:sz w:val="24"/>
        </w:rPr>
        <w:t>，尤其当超过</w:t>
      </w:r>
      <w:r w:rsidRPr="00BE1C44">
        <w:rPr>
          <w:sz w:val="24"/>
        </w:rPr>
        <w:t>3</w:t>
      </w:r>
      <w:r w:rsidRPr="00BE1C44">
        <w:rPr>
          <w:rFonts w:hint="eastAsia"/>
          <w:sz w:val="24"/>
        </w:rPr>
        <w:t>个检测浓度时。</w:t>
      </w:r>
    </w:p>
    <w:p w14:paraId="422A7AEF" w14:textId="44A31933" w:rsidR="00236FB4" w:rsidRPr="00BE1C44" w:rsidRDefault="00286EA0" w:rsidP="00236FB4">
      <w:pPr>
        <w:adjustRightInd w:val="0"/>
        <w:snapToGrid w:val="0"/>
        <w:spacing w:line="360" w:lineRule="auto"/>
        <w:ind w:firstLineChars="200" w:firstLine="480"/>
        <w:jc w:val="both"/>
      </w:pPr>
      <w:r>
        <w:rPr>
          <w:rFonts w:hint="eastAsia"/>
          <w:sz w:val="24"/>
        </w:rPr>
        <w:t>受试</w:t>
      </w:r>
      <w:proofErr w:type="gramStart"/>
      <w:r>
        <w:rPr>
          <w:rFonts w:hint="eastAsia"/>
          <w:sz w:val="24"/>
        </w:rPr>
        <w:t>物</w:t>
      </w:r>
      <w:r w:rsidR="00236FB4" w:rsidRPr="00BE1C44">
        <w:rPr>
          <w:rFonts w:hint="eastAsia"/>
          <w:sz w:val="24"/>
        </w:rPr>
        <w:t>最高</w:t>
      </w:r>
      <w:proofErr w:type="gramEnd"/>
      <w:r w:rsidR="00236FB4" w:rsidRPr="00BE1C44">
        <w:rPr>
          <w:rFonts w:hint="eastAsia"/>
          <w:sz w:val="24"/>
        </w:rPr>
        <w:t>浓度主要取决于</w:t>
      </w:r>
      <w:r>
        <w:rPr>
          <w:rFonts w:hint="eastAsia"/>
          <w:sz w:val="24"/>
        </w:rPr>
        <w:t>受试物</w:t>
      </w:r>
      <w:r w:rsidR="00236FB4" w:rsidRPr="00BE1C44">
        <w:rPr>
          <w:rFonts w:hint="eastAsia"/>
          <w:sz w:val="24"/>
        </w:rPr>
        <w:t>的细胞毒性及其溶解度：</w:t>
      </w:r>
    </w:p>
    <w:p w14:paraId="72BAEDC0" w14:textId="400A9996" w:rsidR="00236FB4" w:rsidRPr="00BE1C44" w:rsidRDefault="00236FB4" w:rsidP="00236FB4">
      <w:pPr>
        <w:adjustRightInd w:val="0"/>
        <w:snapToGrid w:val="0"/>
        <w:spacing w:line="360" w:lineRule="auto"/>
        <w:ind w:firstLineChars="200" w:firstLine="480"/>
        <w:jc w:val="both"/>
      </w:pPr>
      <w:r w:rsidRPr="00BE1C44">
        <w:rPr>
          <w:rFonts w:hint="eastAsia"/>
          <w:sz w:val="24"/>
        </w:rPr>
        <w:t>（</w:t>
      </w:r>
      <w:r w:rsidRPr="00BE1C44">
        <w:rPr>
          <w:sz w:val="24"/>
        </w:rPr>
        <w:t>1</w:t>
      </w:r>
      <w:r w:rsidRPr="00BE1C44">
        <w:rPr>
          <w:rFonts w:hint="eastAsia"/>
          <w:sz w:val="24"/>
        </w:rPr>
        <w:t>）对于可溶性的无细胞毒性的</w:t>
      </w:r>
      <w:r w:rsidR="00286EA0">
        <w:rPr>
          <w:rFonts w:hint="eastAsia"/>
          <w:sz w:val="24"/>
        </w:rPr>
        <w:t>受试物</w:t>
      </w:r>
      <w:r w:rsidRPr="00BE1C44">
        <w:rPr>
          <w:rFonts w:hint="eastAsia"/>
          <w:sz w:val="24"/>
        </w:rPr>
        <w:t>，推荐的最高浓度一般为</w:t>
      </w:r>
      <w:r w:rsidRPr="00BE1C44">
        <w:rPr>
          <w:sz w:val="24"/>
        </w:rPr>
        <w:t>1mM</w:t>
      </w:r>
      <w:r w:rsidRPr="00BE1C44">
        <w:rPr>
          <w:rFonts w:hint="eastAsia"/>
          <w:sz w:val="24"/>
        </w:rPr>
        <w:t>或</w:t>
      </w:r>
      <w:r w:rsidRPr="00BE1C44">
        <w:rPr>
          <w:sz w:val="24"/>
        </w:rPr>
        <w:t>0.5mg/ml</w:t>
      </w:r>
      <w:r w:rsidRPr="00BE1C44">
        <w:rPr>
          <w:rFonts w:hint="eastAsia"/>
          <w:sz w:val="24"/>
        </w:rPr>
        <w:t>（选用较低者）。</w:t>
      </w:r>
    </w:p>
    <w:p w14:paraId="083FD12B" w14:textId="71B2E415" w:rsidR="00236FB4" w:rsidRPr="00BE1C44" w:rsidRDefault="00236FB4" w:rsidP="00236FB4">
      <w:pPr>
        <w:adjustRightInd w:val="0"/>
        <w:snapToGrid w:val="0"/>
        <w:spacing w:line="360" w:lineRule="auto"/>
        <w:ind w:firstLineChars="200" w:firstLine="480"/>
        <w:jc w:val="both"/>
      </w:pPr>
      <w:r w:rsidRPr="00BE1C44">
        <w:rPr>
          <w:rFonts w:hint="eastAsia"/>
          <w:sz w:val="24"/>
        </w:rPr>
        <w:t>（</w:t>
      </w:r>
      <w:r w:rsidRPr="00BE1C44">
        <w:rPr>
          <w:sz w:val="24"/>
        </w:rPr>
        <w:t>2</w:t>
      </w:r>
      <w:r w:rsidRPr="00BE1C44">
        <w:rPr>
          <w:rFonts w:hint="eastAsia"/>
          <w:sz w:val="24"/>
        </w:rPr>
        <w:t>）对于可溶性的有细胞毒性的</w:t>
      </w:r>
      <w:r w:rsidR="00286EA0">
        <w:rPr>
          <w:rFonts w:hint="eastAsia"/>
          <w:sz w:val="24"/>
        </w:rPr>
        <w:t>受试物</w:t>
      </w:r>
      <w:r w:rsidRPr="00BE1C44">
        <w:rPr>
          <w:rFonts w:hint="eastAsia"/>
          <w:sz w:val="24"/>
        </w:rPr>
        <w:t>，应根据细胞毒性大小确定最高浓度。最高浓度所产生的细胞毒性应达到约</w:t>
      </w:r>
      <w:r w:rsidRPr="00BE1C44">
        <w:rPr>
          <w:sz w:val="24"/>
        </w:rPr>
        <w:t>50%</w:t>
      </w:r>
      <w:r w:rsidRPr="00BE1C44">
        <w:rPr>
          <w:rFonts w:hint="eastAsia"/>
          <w:sz w:val="24"/>
        </w:rPr>
        <w:t>但无需超过</w:t>
      </w:r>
      <w:r w:rsidRPr="00BE1C44">
        <w:rPr>
          <w:sz w:val="24"/>
        </w:rPr>
        <w:t>50%</w:t>
      </w:r>
      <w:r w:rsidRPr="00BE1C44">
        <w:rPr>
          <w:rFonts w:hint="eastAsia"/>
          <w:sz w:val="24"/>
        </w:rPr>
        <w:t>。哺乳动物细胞可通过相对群体倍增数（</w:t>
      </w:r>
      <w:r w:rsidRPr="00BE1C44">
        <w:rPr>
          <w:sz w:val="24"/>
        </w:rPr>
        <w:t>Relative population doubling</w:t>
      </w:r>
      <w:r w:rsidRPr="00BE1C44">
        <w:rPr>
          <w:rFonts w:hint="eastAsia"/>
          <w:sz w:val="24"/>
        </w:rPr>
        <w:t>，</w:t>
      </w:r>
      <w:r w:rsidRPr="00BE1C44">
        <w:rPr>
          <w:sz w:val="24"/>
        </w:rPr>
        <w:t>RPD</w:t>
      </w:r>
      <w:r w:rsidRPr="00BE1C44">
        <w:rPr>
          <w:rFonts w:hint="eastAsia"/>
          <w:sz w:val="24"/>
        </w:rPr>
        <w:t>）或相对细胞增长数（</w:t>
      </w:r>
      <w:proofErr w:type="spellStart"/>
      <w:r w:rsidRPr="00BE1C44">
        <w:rPr>
          <w:sz w:val="24"/>
        </w:rPr>
        <w:t>Relativeincrease</w:t>
      </w:r>
      <w:proofErr w:type="spellEnd"/>
      <w:r w:rsidRPr="00BE1C44">
        <w:rPr>
          <w:sz w:val="24"/>
        </w:rPr>
        <w:t xml:space="preserve"> in cell count</w:t>
      </w:r>
      <w:r w:rsidRPr="00BE1C44">
        <w:rPr>
          <w:rFonts w:hint="eastAsia"/>
          <w:sz w:val="24"/>
        </w:rPr>
        <w:t>，</w:t>
      </w:r>
      <w:r w:rsidRPr="00BE1C44">
        <w:rPr>
          <w:sz w:val="24"/>
        </w:rPr>
        <w:t>RICC</w:t>
      </w:r>
      <w:r w:rsidRPr="00BE1C44">
        <w:rPr>
          <w:rFonts w:hint="eastAsia"/>
          <w:sz w:val="24"/>
        </w:rPr>
        <w:t>）的减少来反映细胞毒性，外周血淋巴细胞可通过有丝分裂指数（</w:t>
      </w:r>
      <w:r w:rsidRPr="00BE1C44">
        <w:rPr>
          <w:sz w:val="24"/>
        </w:rPr>
        <w:t>Mitotic Index</w:t>
      </w:r>
      <w:r w:rsidRPr="00BE1C44">
        <w:rPr>
          <w:rFonts w:hint="eastAsia"/>
          <w:sz w:val="24"/>
        </w:rPr>
        <w:t>，</w:t>
      </w:r>
      <w:r w:rsidRPr="00BE1C44">
        <w:rPr>
          <w:sz w:val="24"/>
        </w:rPr>
        <w:t>MI</w:t>
      </w:r>
      <w:r w:rsidRPr="00BE1C44">
        <w:rPr>
          <w:rFonts w:hint="eastAsia"/>
          <w:sz w:val="24"/>
        </w:rPr>
        <w:t>）的降低来反映细胞毒性。细胞毒性评价公式参见“附录（一）”。</w:t>
      </w:r>
    </w:p>
    <w:p w14:paraId="13482030" w14:textId="76E4FC9A" w:rsidR="00236FB4" w:rsidRPr="00BE1C44" w:rsidRDefault="00236FB4" w:rsidP="00236FB4">
      <w:pPr>
        <w:adjustRightInd w:val="0"/>
        <w:snapToGrid w:val="0"/>
        <w:spacing w:line="360" w:lineRule="auto"/>
        <w:ind w:firstLineChars="200" w:firstLine="480"/>
        <w:jc w:val="both"/>
      </w:pPr>
      <w:r w:rsidRPr="00BE1C44">
        <w:rPr>
          <w:rFonts w:hint="eastAsia"/>
          <w:sz w:val="24"/>
        </w:rPr>
        <w:t>（</w:t>
      </w:r>
      <w:r w:rsidRPr="00BE1C44">
        <w:rPr>
          <w:sz w:val="24"/>
        </w:rPr>
        <w:t>3</w:t>
      </w:r>
      <w:r w:rsidRPr="00BE1C44">
        <w:rPr>
          <w:rFonts w:hint="eastAsia"/>
          <w:sz w:val="24"/>
        </w:rPr>
        <w:t>）</w:t>
      </w:r>
      <w:proofErr w:type="gramStart"/>
      <w:r w:rsidRPr="00BE1C44">
        <w:rPr>
          <w:rFonts w:hint="eastAsia"/>
          <w:sz w:val="24"/>
        </w:rPr>
        <w:t>对于难</w:t>
      </w:r>
      <w:proofErr w:type="gramEnd"/>
      <w:r w:rsidRPr="00BE1C44">
        <w:rPr>
          <w:rFonts w:hint="eastAsia"/>
          <w:sz w:val="24"/>
        </w:rPr>
        <w:t>溶性的</w:t>
      </w:r>
      <w:r w:rsidR="00286EA0">
        <w:rPr>
          <w:rFonts w:hint="eastAsia"/>
          <w:sz w:val="24"/>
        </w:rPr>
        <w:t>受试物</w:t>
      </w:r>
      <w:r w:rsidRPr="00BE1C44">
        <w:rPr>
          <w:rFonts w:hint="eastAsia"/>
          <w:sz w:val="24"/>
        </w:rPr>
        <w:t>，一般采用最小沉淀浓度为最高浓度。</w:t>
      </w:r>
    </w:p>
    <w:p w14:paraId="51078271" w14:textId="3B274424" w:rsidR="00236FB4" w:rsidRPr="00BE1C44" w:rsidRDefault="00236FB4" w:rsidP="00236FB4">
      <w:pPr>
        <w:adjustRightInd w:val="0"/>
        <w:snapToGrid w:val="0"/>
        <w:spacing w:line="360" w:lineRule="auto"/>
        <w:ind w:firstLineChars="200" w:firstLine="480"/>
        <w:jc w:val="both"/>
      </w:pPr>
      <w:r w:rsidRPr="00BE1C44">
        <w:rPr>
          <w:rFonts w:hint="eastAsia"/>
          <w:sz w:val="24"/>
        </w:rPr>
        <w:t>对最高浓度之下的其他浓度，对于细胞毒性小或无的</w:t>
      </w:r>
      <w:r w:rsidR="00286EA0">
        <w:rPr>
          <w:rFonts w:hint="eastAsia"/>
          <w:sz w:val="24"/>
        </w:rPr>
        <w:t>受试物</w:t>
      </w:r>
      <w:r w:rsidRPr="00BE1C44">
        <w:rPr>
          <w:rFonts w:hint="eastAsia"/>
          <w:sz w:val="24"/>
        </w:rPr>
        <w:t>，一般浓度间距为</w:t>
      </w:r>
      <w:r w:rsidRPr="00BE1C44">
        <w:rPr>
          <w:sz w:val="24"/>
        </w:rPr>
        <w:t>2</w:t>
      </w:r>
      <w:r w:rsidRPr="00BE1C44">
        <w:rPr>
          <w:rFonts w:hint="eastAsia"/>
          <w:sz w:val="24"/>
        </w:rPr>
        <w:t>～</w:t>
      </w:r>
      <w:r w:rsidRPr="00BE1C44">
        <w:rPr>
          <w:sz w:val="24"/>
        </w:rPr>
        <w:t>3</w:t>
      </w:r>
      <w:r w:rsidRPr="00BE1C44">
        <w:rPr>
          <w:rFonts w:hint="eastAsia"/>
          <w:sz w:val="24"/>
        </w:rPr>
        <w:t>倍；对于有细胞毒性的</w:t>
      </w:r>
      <w:r w:rsidR="00286EA0">
        <w:rPr>
          <w:rFonts w:hint="eastAsia"/>
          <w:sz w:val="24"/>
        </w:rPr>
        <w:t>受试物</w:t>
      </w:r>
      <w:r w:rsidRPr="00BE1C44">
        <w:rPr>
          <w:rFonts w:hint="eastAsia"/>
          <w:sz w:val="24"/>
        </w:rPr>
        <w:t>，所选择的浓度应覆盖产生细胞毒性的范围，并且包括具有中度或少</w:t>
      </w:r>
      <w:r w:rsidRPr="00BE1C44">
        <w:rPr>
          <w:sz w:val="24"/>
        </w:rPr>
        <w:t>/</w:t>
      </w:r>
      <w:r w:rsidRPr="00BE1C44">
        <w:rPr>
          <w:rFonts w:hint="eastAsia"/>
          <w:sz w:val="24"/>
        </w:rPr>
        <w:t>无细胞毒性的浓度；在一些情况下，如具有较陡峭的浓度反应关系，则可适当缩小浓度间距或将检测的浓度加至</w:t>
      </w:r>
      <w:r w:rsidRPr="00BE1C44">
        <w:rPr>
          <w:sz w:val="24"/>
        </w:rPr>
        <w:t>3</w:t>
      </w:r>
      <w:r w:rsidRPr="00BE1C44">
        <w:rPr>
          <w:rFonts w:hint="eastAsia"/>
          <w:sz w:val="24"/>
        </w:rPr>
        <w:t>个以上。</w:t>
      </w:r>
    </w:p>
    <w:p w14:paraId="2823FAF3"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最高浓度的确定主要针对兽用化药，因中药、天然药物所包含范围宽且情况复杂，在合适时可参考兽用化药的最高浓度的确定原则进行设计，不合适时需根据具体情况进行合理的设计。</w:t>
      </w:r>
    </w:p>
    <w:p w14:paraId="075F0436" w14:textId="77777777" w:rsidR="00236FB4" w:rsidRPr="009A0E46" w:rsidRDefault="00236FB4" w:rsidP="00236FB4">
      <w:pPr>
        <w:adjustRightInd w:val="0"/>
        <w:snapToGrid w:val="0"/>
        <w:spacing w:line="360" w:lineRule="auto"/>
        <w:ind w:firstLineChars="200" w:firstLine="480"/>
        <w:jc w:val="both"/>
        <w:rPr>
          <w:sz w:val="24"/>
        </w:rPr>
      </w:pPr>
      <w:r w:rsidRPr="009A0E46">
        <w:rPr>
          <w:sz w:val="24"/>
        </w:rPr>
        <w:t>2.</w:t>
      </w:r>
      <w:r w:rsidRPr="009A0E46">
        <w:rPr>
          <w:sz w:val="24"/>
        </w:rPr>
        <w:t>阳性对照组</w:t>
      </w:r>
    </w:p>
    <w:p w14:paraId="63314D7A" w14:textId="526E8323" w:rsidR="00236FB4" w:rsidRPr="00BE1C44" w:rsidRDefault="00236FB4" w:rsidP="00236FB4">
      <w:pPr>
        <w:adjustRightInd w:val="0"/>
        <w:snapToGrid w:val="0"/>
        <w:spacing w:line="360" w:lineRule="auto"/>
        <w:ind w:firstLineChars="200" w:firstLine="480"/>
        <w:jc w:val="both"/>
      </w:pPr>
      <w:r w:rsidRPr="00BE1C44">
        <w:rPr>
          <w:rFonts w:hint="eastAsia"/>
          <w:sz w:val="24"/>
        </w:rPr>
        <w:t>采用已知的阳性诱变剂替代</w:t>
      </w:r>
      <w:r w:rsidR="00286EA0">
        <w:rPr>
          <w:rFonts w:hint="eastAsia"/>
          <w:sz w:val="24"/>
        </w:rPr>
        <w:t>受试物</w:t>
      </w:r>
      <w:r w:rsidRPr="00BE1C44">
        <w:rPr>
          <w:rFonts w:hint="eastAsia"/>
          <w:sz w:val="24"/>
        </w:rPr>
        <w:t>，其他处理和</w:t>
      </w:r>
      <w:proofErr w:type="gramStart"/>
      <w:r w:rsidR="00286EA0">
        <w:rPr>
          <w:rFonts w:hint="eastAsia"/>
          <w:sz w:val="24"/>
        </w:rPr>
        <w:t>受试物</w:t>
      </w:r>
      <w:r w:rsidRPr="00BE1C44">
        <w:rPr>
          <w:rFonts w:hint="eastAsia"/>
          <w:sz w:val="24"/>
        </w:rPr>
        <w:t>组相同</w:t>
      </w:r>
      <w:proofErr w:type="gramEnd"/>
      <w:r w:rsidRPr="00BE1C44">
        <w:rPr>
          <w:rFonts w:hint="eastAsia"/>
          <w:sz w:val="24"/>
        </w:rPr>
        <w:t>。推荐的阳性诱变剂参见“附录（二）”。阳性对照物的浓度所产生的细胞毒性不应超过</w:t>
      </w:r>
      <w:r w:rsidRPr="00BE1C44">
        <w:rPr>
          <w:sz w:val="24"/>
        </w:rPr>
        <w:t>55</w:t>
      </w:r>
      <w:r w:rsidRPr="00447443">
        <w:rPr>
          <w:sz w:val="24"/>
        </w:rPr>
        <w:t>±</w:t>
      </w:r>
      <w:r w:rsidRPr="00BE1C44">
        <w:rPr>
          <w:sz w:val="24"/>
        </w:rPr>
        <w:t>5%</w:t>
      </w:r>
      <w:r w:rsidRPr="00BE1C44">
        <w:rPr>
          <w:rFonts w:hint="eastAsia"/>
          <w:sz w:val="24"/>
        </w:rPr>
        <w:t>，应预期产生超过本底值的、可重复的染色体结构畸变细胞增多，且又不使阅片者立即发现其为阳性对照组样本。</w:t>
      </w:r>
    </w:p>
    <w:p w14:paraId="7576348F" w14:textId="77777777" w:rsidR="00236FB4" w:rsidRPr="009A0E46" w:rsidRDefault="00236FB4" w:rsidP="00236FB4">
      <w:pPr>
        <w:adjustRightInd w:val="0"/>
        <w:snapToGrid w:val="0"/>
        <w:spacing w:line="360" w:lineRule="auto"/>
        <w:ind w:firstLineChars="200" w:firstLine="480"/>
        <w:jc w:val="both"/>
        <w:rPr>
          <w:sz w:val="24"/>
        </w:rPr>
      </w:pPr>
      <w:r w:rsidRPr="009A0E46">
        <w:rPr>
          <w:sz w:val="24"/>
        </w:rPr>
        <w:t>3.</w:t>
      </w:r>
      <w:r w:rsidRPr="009A0E46">
        <w:rPr>
          <w:sz w:val="24"/>
        </w:rPr>
        <w:t>溶剂对照组</w:t>
      </w:r>
    </w:p>
    <w:p w14:paraId="52CB39B9" w14:textId="5B4211D4" w:rsidR="00236FB4" w:rsidRPr="00BE1C44" w:rsidRDefault="00236FB4" w:rsidP="00236FB4">
      <w:pPr>
        <w:adjustRightInd w:val="0"/>
        <w:snapToGrid w:val="0"/>
        <w:spacing w:line="360" w:lineRule="auto"/>
        <w:ind w:firstLineChars="200" w:firstLine="480"/>
        <w:jc w:val="both"/>
      </w:pPr>
      <w:r w:rsidRPr="00BE1C44">
        <w:rPr>
          <w:rFonts w:hint="eastAsia"/>
          <w:sz w:val="24"/>
        </w:rPr>
        <w:t>仅含和</w:t>
      </w:r>
      <w:r w:rsidR="00286EA0">
        <w:rPr>
          <w:rFonts w:hint="eastAsia"/>
          <w:sz w:val="24"/>
        </w:rPr>
        <w:t>受试</w:t>
      </w:r>
      <w:proofErr w:type="gramStart"/>
      <w:r w:rsidR="00286EA0">
        <w:rPr>
          <w:rFonts w:hint="eastAsia"/>
          <w:sz w:val="24"/>
        </w:rPr>
        <w:t>物</w:t>
      </w:r>
      <w:r w:rsidRPr="00BE1C44">
        <w:rPr>
          <w:rFonts w:hint="eastAsia"/>
          <w:sz w:val="24"/>
        </w:rPr>
        <w:t>组相同</w:t>
      </w:r>
      <w:proofErr w:type="gramEnd"/>
      <w:r w:rsidRPr="00BE1C44">
        <w:rPr>
          <w:rFonts w:hint="eastAsia"/>
          <w:sz w:val="24"/>
        </w:rPr>
        <w:t>的溶剂，不含</w:t>
      </w:r>
      <w:r w:rsidR="00286EA0">
        <w:rPr>
          <w:rFonts w:hint="eastAsia"/>
          <w:sz w:val="24"/>
        </w:rPr>
        <w:t>受试物</w:t>
      </w:r>
      <w:r w:rsidRPr="00BE1C44">
        <w:rPr>
          <w:rFonts w:hint="eastAsia"/>
          <w:sz w:val="24"/>
        </w:rPr>
        <w:t>，其他处理和</w:t>
      </w:r>
      <w:proofErr w:type="gramStart"/>
      <w:r w:rsidR="00286EA0">
        <w:rPr>
          <w:rFonts w:hint="eastAsia"/>
          <w:sz w:val="24"/>
        </w:rPr>
        <w:t>受试物</w:t>
      </w:r>
      <w:r w:rsidRPr="00BE1C44">
        <w:rPr>
          <w:rFonts w:hint="eastAsia"/>
          <w:sz w:val="24"/>
        </w:rPr>
        <w:t>组相同</w:t>
      </w:r>
      <w:proofErr w:type="gramEnd"/>
      <w:r w:rsidRPr="00BE1C44">
        <w:rPr>
          <w:rFonts w:hint="eastAsia"/>
          <w:sz w:val="24"/>
        </w:rPr>
        <w:t>。</w:t>
      </w:r>
    </w:p>
    <w:p w14:paraId="59725E13" w14:textId="77777777" w:rsidR="00236FB4" w:rsidRPr="009A0E46" w:rsidRDefault="00236FB4" w:rsidP="00236FB4">
      <w:pPr>
        <w:adjustRightInd w:val="0"/>
        <w:snapToGrid w:val="0"/>
        <w:spacing w:line="360" w:lineRule="auto"/>
        <w:ind w:firstLineChars="200" w:firstLine="480"/>
        <w:jc w:val="both"/>
        <w:rPr>
          <w:sz w:val="24"/>
        </w:rPr>
      </w:pPr>
      <w:r w:rsidRPr="009A0E46">
        <w:rPr>
          <w:sz w:val="24"/>
        </w:rPr>
        <w:t>4.</w:t>
      </w:r>
      <w:r w:rsidRPr="009A0E46">
        <w:rPr>
          <w:rFonts w:hint="eastAsia"/>
          <w:sz w:val="24"/>
        </w:rPr>
        <w:t>空白</w:t>
      </w:r>
      <w:r w:rsidRPr="009A0E46">
        <w:rPr>
          <w:sz w:val="24"/>
        </w:rPr>
        <w:t>对照组</w:t>
      </w:r>
    </w:p>
    <w:p w14:paraId="138FE003"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如果现有资料不能证实溶剂不具有致突变性，还应设空白对照。</w:t>
      </w:r>
    </w:p>
    <w:p w14:paraId="11919627"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bookmarkStart w:id="2" w:name="_Hlk177831908"/>
      <w:r w:rsidRPr="005740E6">
        <w:rPr>
          <w:rFonts w:ascii="黑体" w:eastAsia="黑体" w:hAnsi="黑体" w:hint="eastAsia"/>
          <w:noProof/>
          <w:sz w:val="24"/>
        </w:rPr>
        <w:t>（四）代谢活化系统</w:t>
      </w:r>
    </w:p>
    <w:bookmarkEnd w:id="2"/>
    <w:p w14:paraId="193A1F73"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lastRenderedPageBreak/>
        <w:t>常用的代谢活化系统是经酶诱导剂（如</w:t>
      </w:r>
      <w:proofErr w:type="spellStart"/>
      <w:r w:rsidRPr="00BE1C44">
        <w:rPr>
          <w:sz w:val="24"/>
        </w:rPr>
        <w:t>Aroclor</w:t>
      </w:r>
      <w:proofErr w:type="spellEnd"/>
      <w:r w:rsidRPr="00BE1C44">
        <w:rPr>
          <w:sz w:val="24"/>
        </w:rPr>
        <w:t xml:space="preserve"> 1254</w:t>
      </w:r>
      <w:r w:rsidRPr="00BE1C44">
        <w:rPr>
          <w:rFonts w:hint="eastAsia"/>
          <w:sz w:val="24"/>
        </w:rPr>
        <w:t>或苯巴比妥和</w:t>
      </w:r>
      <w:r w:rsidRPr="006E57AB">
        <w:rPr>
          <w:rFonts w:hint="eastAsia"/>
          <w:sz w:val="24"/>
        </w:rPr>
        <w:t>β</w:t>
      </w:r>
      <w:r w:rsidRPr="00BE1C44">
        <w:rPr>
          <w:sz w:val="24"/>
        </w:rPr>
        <w:t>-</w:t>
      </w:r>
      <w:proofErr w:type="gramStart"/>
      <w:r w:rsidRPr="00BE1C44">
        <w:rPr>
          <w:rFonts w:hint="eastAsia"/>
          <w:sz w:val="24"/>
        </w:rPr>
        <w:t>萘</w:t>
      </w:r>
      <w:proofErr w:type="gramEnd"/>
      <w:r w:rsidRPr="00BE1C44">
        <w:rPr>
          <w:rFonts w:hint="eastAsia"/>
          <w:sz w:val="24"/>
        </w:rPr>
        <w:t>黄酮联合）诱导处理后的大鼠肝脏微粒体酶</w:t>
      </w:r>
      <w:r w:rsidRPr="00BE1C44">
        <w:rPr>
          <w:sz w:val="24"/>
        </w:rPr>
        <w:t>S9</w:t>
      </w:r>
      <w:r w:rsidRPr="00BE1C44">
        <w:rPr>
          <w:rFonts w:hint="eastAsia"/>
          <w:sz w:val="24"/>
        </w:rPr>
        <w:t>混合液，但也可使用其他系统。如果选择其他代谢活化系统，应提供科学依据以证明该选择合理。</w:t>
      </w:r>
    </w:p>
    <w:p w14:paraId="65D54AFA" w14:textId="77777777" w:rsidR="00236FB4" w:rsidRPr="009A0E46" w:rsidRDefault="00236FB4" w:rsidP="00236FB4">
      <w:pPr>
        <w:adjustRightInd w:val="0"/>
        <w:snapToGrid w:val="0"/>
        <w:spacing w:line="360" w:lineRule="auto"/>
        <w:ind w:firstLineChars="200" w:firstLine="480"/>
        <w:jc w:val="both"/>
        <w:rPr>
          <w:noProof/>
          <w:sz w:val="24"/>
        </w:rPr>
      </w:pPr>
      <w:bookmarkStart w:id="3" w:name="_Hlk171097203"/>
      <w:r w:rsidRPr="009A0E46">
        <w:rPr>
          <w:noProof/>
          <w:sz w:val="24"/>
        </w:rPr>
        <w:t>S9</w:t>
      </w:r>
      <w:r w:rsidRPr="009A0E46">
        <w:rPr>
          <w:rFonts w:hint="eastAsia"/>
          <w:noProof/>
          <w:sz w:val="24"/>
        </w:rPr>
        <w:t>在试验介质中的终浓度</w:t>
      </w:r>
      <w:bookmarkEnd w:id="3"/>
      <w:r w:rsidRPr="009A0E46">
        <w:rPr>
          <w:rFonts w:hint="eastAsia"/>
          <w:noProof/>
          <w:sz w:val="24"/>
        </w:rPr>
        <w:t>一般为</w:t>
      </w:r>
      <w:r w:rsidRPr="009A0E46">
        <w:rPr>
          <w:noProof/>
          <w:sz w:val="24"/>
        </w:rPr>
        <w:t>1%</w:t>
      </w:r>
      <w:r w:rsidRPr="005740E6">
        <w:rPr>
          <w:rFonts w:hint="eastAsia"/>
          <w:noProof/>
          <w:sz w:val="24"/>
        </w:rPr>
        <w:t>～</w:t>
      </w:r>
      <w:r w:rsidRPr="009A0E46">
        <w:rPr>
          <w:noProof/>
          <w:sz w:val="24"/>
        </w:rPr>
        <w:t>10%</w:t>
      </w:r>
      <w:r w:rsidRPr="009A0E46">
        <w:rPr>
          <w:rFonts w:hint="eastAsia"/>
          <w:noProof/>
          <w:sz w:val="24"/>
        </w:rPr>
        <w:t>（</w:t>
      </w:r>
      <w:r w:rsidRPr="009A0E46">
        <w:rPr>
          <w:sz w:val="24"/>
        </w:rPr>
        <w:t>v/v</w:t>
      </w:r>
      <w:r w:rsidRPr="009A0E46">
        <w:rPr>
          <w:rFonts w:hint="eastAsia"/>
          <w:noProof/>
          <w:sz w:val="24"/>
        </w:rPr>
        <w:t>）。</w:t>
      </w:r>
    </w:p>
    <w:p w14:paraId="42AA4E9C"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bookmarkStart w:id="4" w:name="_Hlk177831974"/>
      <w:r w:rsidRPr="005740E6">
        <w:rPr>
          <w:rFonts w:ascii="黑体" w:eastAsia="黑体" w:hAnsi="黑体" w:hint="eastAsia"/>
          <w:noProof/>
          <w:sz w:val="24"/>
        </w:rPr>
        <w:t>（五）</w:t>
      </w:r>
      <w:bookmarkStart w:id="5" w:name="_Hlk183357780"/>
      <w:bookmarkStart w:id="6" w:name="_Hlk177809708"/>
      <w:r w:rsidRPr="005740E6">
        <w:rPr>
          <w:rFonts w:ascii="黑体" w:eastAsia="黑体" w:hAnsi="黑体" w:hint="eastAsia"/>
          <w:noProof/>
          <w:sz w:val="24"/>
        </w:rPr>
        <w:t>细胞处理及收获时间</w:t>
      </w:r>
      <w:bookmarkEnd w:id="5"/>
    </w:p>
    <w:bookmarkEnd w:id="4"/>
    <w:bookmarkEnd w:id="6"/>
    <w:p w14:paraId="1A967ED5" w14:textId="1E59F822" w:rsidR="00236FB4" w:rsidRPr="00BE1C44" w:rsidRDefault="00236FB4" w:rsidP="00236FB4">
      <w:pPr>
        <w:adjustRightInd w:val="0"/>
        <w:snapToGrid w:val="0"/>
        <w:spacing w:line="360" w:lineRule="auto"/>
        <w:ind w:firstLineChars="200" w:firstLine="480"/>
        <w:jc w:val="both"/>
      </w:pPr>
      <w:r w:rsidRPr="00BE1C44">
        <w:rPr>
          <w:rFonts w:hint="eastAsia"/>
          <w:sz w:val="24"/>
        </w:rPr>
        <w:t>在代谢活化或非代谢活化条件下，</w:t>
      </w:r>
      <w:r w:rsidR="00286EA0">
        <w:rPr>
          <w:rFonts w:hint="eastAsia"/>
          <w:sz w:val="24"/>
        </w:rPr>
        <w:t>受试物</w:t>
      </w:r>
      <w:r w:rsidRPr="00BE1C44">
        <w:rPr>
          <w:rFonts w:hint="eastAsia"/>
          <w:sz w:val="24"/>
        </w:rPr>
        <w:t>和细胞作用</w:t>
      </w:r>
      <w:r w:rsidRPr="00BE1C44">
        <w:rPr>
          <w:sz w:val="24"/>
        </w:rPr>
        <w:t>3h</w:t>
      </w:r>
      <w:r w:rsidRPr="00BE1C44">
        <w:rPr>
          <w:rFonts w:hint="eastAsia"/>
          <w:sz w:val="24"/>
        </w:rPr>
        <w:t>～</w:t>
      </w:r>
      <w:r w:rsidRPr="00BE1C44">
        <w:rPr>
          <w:sz w:val="24"/>
        </w:rPr>
        <w:t>6h</w:t>
      </w:r>
      <w:r w:rsidRPr="00BE1C44">
        <w:rPr>
          <w:rFonts w:hint="eastAsia"/>
          <w:sz w:val="24"/>
        </w:rPr>
        <w:t>，在</w:t>
      </w:r>
      <w:r w:rsidRPr="00BE1C44">
        <w:rPr>
          <w:sz w:val="24"/>
        </w:rPr>
        <w:t>1.5</w:t>
      </w:r>
      <w:r w:rsidRPr="00BE1C44">
        <w:rPr>
          <w:rFonts w:hint="eastAsia"/>
          <w:sz w:val="24"/>
        </w:rPr>
        <w:t>个正常细胞周期时收获细胞；在非代谢活化条件下，</w:t>
      </w:r>
      <w:r w:rsidR="00286EA0">
        <w:rPr>
          <w:rFonts w:hint="eastAsia"/>
          <w:sz w:val="24"/>
        </w:rPr>
        <w:t>受试物</w:t>
      </w:r>
      <w:r w:rsidRPr="00BE1C44">
        <w:rPr>
          <w:rFonts w:hint="eastAsia"/>
          <w:sz w:val="24"/>
        </w:rPr>
        <w:t>和细胞还应持续作用至</w:t>
      </w:r>
      <w:r w:rsidRPr="00BE1C44">
        <w:rPr>
          <w:sz w:val="24"/>
        </w:rPr>
        <w:t>1.5</w:t>
      </w:r>
      <w:r w:rsidRPr="00BE1C44">
        <w:rPr>
          <w:rFonts w:hint="eastAsia"/>
          <w:sz w:val="24"/>
        </w:rPr>
        <w:t>个正常细胞周期时收获细胞。对于某些</w:t>
      </w:r>
      <w:r w:rsidR="00286EA0">
        <w:rPr>
          <w:rFonts w:hint="eastAsia"/>
          <w:sz w:val="24"/>
        </w:rPr>
        <w:t>受试物</w:t>
      </w:r>
      <w:r w:rsidRPr="00BE1C44">
        <w:rPr>
          <w:rFonts w:hint="eastAsia"/>
          <w:sz w:val="24"/>
        </w:rPr>
        <w:t>，与细胞接触时间</w:t>
      </w:r>
      <w:r w:rsidRPr="00BE1C44">
        <w:rPr>
          <w:sz w:val="24"/>
        </w:rPr>
        <w:t>/</w:t>
      </w:r>
      <w:r w:rsidRPr="00BE1C44">
        <w:rPr>
          <w:rFonts w:hint="eastAsia"/>
          <w:sz w:val="24"/>
        </w:rPr>
        <w:t>收获细胞时间可能要大于</w:t>
      </w:r>
      <w:r w:rsidRPr="00BE1C44">
        <w:rPr>
          <w:sz w:val="24"/>
        </w:rPr>
        <w:t>1.5</w:t>
      </w:r>
      <w:r w:rsidRPr="00BE1C44">
        <w:rPr>
          <w:rFonts w:hint="eastAsia"/>
          <w:sz w:val="24"/>
        </w:rPr>
        <w:t>个正常细胞周期。</w:t>
      </w:r>
    </w:p>
    <w:p w14:paraId="1A8C61C9"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bookmarkStart w:id="7" w:name="_Hlk177832851"/>
      <w:r w:rsidRPr="005740E6">
        <w:rPr>
          <w:rFonts w:ascii="黑体" w:eastAsia="黑体" w:hAnsi="黑体" w:hint="eastAsia"/>
          <w:noProof/>
          <w:sz w:val="24"/>
        </w:rPr>
        <w:t>（六）观察指标</w:t>
      </w:r>
    </w:p>
    <w:bookmarkEnd w:id="7"/>
    <w:p w14:paraId="16901C89"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应观察记录各浓度组细胞毒性大小和沉淀情况。</w:t>
      </w:r>
    </w:p>
    <w:p w14:paraId="31A3764F"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任</w:t>
      </w:r>
      <w:proofErr w:type="gramStart"/>
      <w:r w:rsidRPr="00BE1C44">
        <w:rPr>
          <w:rFonts w:hint="eastAsia"/>
          <w:sz w:val="24"/>
        </w:rPr>
        <w:t>一</w:t>
      </w:r>
      <w:proofErr w:type="gramEnd"/>
      <w:r w:rsidRPr="00BE1C44">
        <w:rPr>
          <w:rFonts w:hint="eastAsia"/>
          <w:sz w:val="24"/>
        </w:rPr>
        <w:t>处理条件下各组应至少观察</w:t>
      </w:r>
      <w:r w:rsidRPr="00BE1C44">
        <w:rPr>
          <w:sz w:val="24"/>
        </w:rPr>
        <w:t>300</w:t>
      </w:r>
      <w:r w:rsidRPr="00BE1C44">
        <w:rPr>
          <w:rFonts w:hint="eastAsia"/>
          <w:sz w:val="24"/>
        </w:rPr>
        <w:t>个分散良好的分裂中期相细胞，当采用平行</w:t>
      </w:r>
      <w:r w:rsidRPr="00BE1C44">
        <w:rPr>
          <w:sz w:val="24"/>
        </w:rPr>
        <w:t>2</w:t>
      </w:r>
      <w:proofErr w:type="gramStart"/>
      <w:r w:rsidRPr="00BE1C44">
        <w:rPr>
          <w:rFonts w:hint="eastAsia"/>
          <w:sz w:val="24"/>
        </w:rPr>
        <w:t>皿</w:t>
      </w:r>
      <w:proofErr w:type="gramEnd"/>
      <w:r w:rsidRPr="00BE1C44">
        <w:rPr>
          <w:rFonts w:hint="eastAsia"/>
          <w:sz w:val="24"/>
        </w:rPr>
        <w:t>时，则应均</w:t>
      </w:r>
      <w:proofErr w:type="gramStart"/>
      <w:r w:rsidRPr="00BE1C44">
        <w:rPr>
          <w:rFonts w:hint="eastAsia"/>
          <w:sz w:val="24"/>
        </w:rPr>
        <w:t>一</w:t>
      </w:r>
      <w:proofErr w:type="gramEnd"/>
      <w:r w:rsidRPr="00BE1C44">
        <w:rPr>
          <w:rFonts w:hint="eastAsia"/>
          <w:sz w:val="24"/>
        </w:rPr>
        <w:t>分配。若观察到大量染色体畸变细胞，分析细胞数可相应减少。应分别记录各组观察的分裂中期相细胞数、含有结构畸变染色体的细胞数和畸变类型，染色单体型</w:t>
      </w:r>
      <w:r>
        <w:rPr>
          <w:rFonts w:hint="eastAsia"/>
          <w:sz w:val="24"/>
        </w:rPr>
        <w:t>畸变</w:t>
      </w:r>
      <w:r w:rsidRPr="00BE1C44">
        <w:rPr>
          <w:rFonts w:hint="eastAsia"/>
          <w:sz w:val="24"/>
        </w:rPr>
        <w:t>与染色体型畸变应分别记录并记录亚型（断裂、交换）。裂隙应单独记录，但不计入畸变率中。同时应单独记录多倍体和内复制等数目畸变，但不计入畸变率中。主要观察项目见“附录（三）”。</w:t>
      </w:r>
    </w:p>
    <w:p w14:paraId="66FE7390"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bookmarkStart w:id="8" w:name="_Hlk177833467"/>
      <w:r w:rsidRPr="005740E6">
        <w:rPr>
          <w:rFonts w:ascii="黑体" w:eastAsia="黑体" w:hAnsi="黑体" w:hint="eastAsia"/>
          <w:noProof/>
          <w:sz w:val="24"/>
        </w:rPr>
        <w:t>（</w:t>
      </w:r>
      <w:r>
        <w:rPr>
          <w:rFonts w:ascii="黑体" w:eastAsia="黑体" w:hAnsi="黑体" w:hint="eastAsia"/>
          <w:noProof/>
          <w:sz w:val="24"/>
        </w:rPr>
        <w:t>七</w:t>
      </w:r>
      <w:r w:rsidRPr="005740E6">
        <w:rPr>
          <w:rFonts w:ascii="黑体" w:eastAsia="黑体" w:hAnsi="黑体" w:hint="eastAsia"/>
          <w:noProof/>
          <w:sz w:val="24"/>
        </w:rPr>
        <w:t>）结果</w:t>
      </w:r>
      <w:r>
        <w:rPr>
          <w:rFonts w:ascii="黑体" w:eastAsia="黑体" w:hAnsi="黑体" w:hint="eastAsia"/>
          <w:noProof/>
          <w:sz w:val="24"/>
        </w:rPr>
        <w:t>分析及</w:t>
      </w:r>
      <w:r w:rsidRPr="005740E6">
        <w:rPr>
          <w:rFonts w:ascii="黑体" w:eastAsia="黑体" w:hAnsi="黑体" w:hint="eastAsia"/>
          <w:noProof/>
          <w:sz w:val="24"/>
        </w:rPr>
        <w:t>评价</w:t>
      </w:r>
    </w:p>
    <w:p w14:paraId="4AA4445D" w14:textId="77777777" w:rsidR="00236FB4" w:rsidRPr="00BE1C44" w:rsidRDefault="00236FB4" w:rsidP="00236FB4">
      <w:pPr>
        <w:adjustRightInd w:val="0"/>
        <w:snapToGrid w:val="0"/>
        <w:spacing w:line="360" w:lineRule="auto"/>
        <w:ind w:firstLineChars="200" w:firstLine="480"/>
        <w:jc w:val="both"/>
      </w:pPr>
      <w:bookmarkStart w:id="9" w:name="_Hlk177833826"/>
      <w:bookmarkEnd w:id="8"/>
      <w:r w:rsidRPr="00BE1C44">
        <w:rPr>
          <w:rFonts w:hint="eastAsia"/>
          <w:sz w:val="24"/>
        </w:rPr>
        <w:t>结果中应描述各浓度组细胞毒性大小和沉淀情况。</w:t>
      </w:r>
      <w:bookmarkEnd w:id="9"/>
      <w:r w:rsidRPr="00BE1C44">
        <w:rPr>
          <w:rFonts w:hint="eastAsia"/>
          <w:sz w:val="24"/>
        </w:rPr>
        <w:t>主要评价指标</w:t>
      </w:r>
      <w:r w:rsidRPr="005740E6">
        <w:rPr>
          <w:rFonts w:hint="eastAsia"/>
          <w:sz w:val="24"/>
        </w:rPr>
        <w:t>为</w:t>
      </w:r>
      <w:r w:rsidRPr="00BE1C44">
        <w:rPr>
          <w:rFonts w:hint="eastAsia"/>
          <w:sz w:val="24"/>
        </w:rPr>
        <w:t>染色体结构畸变细胞的百分率（即</w:t>
      </w:r>
      <w:r w:rsidRPr="005740E6">
        <w:rPr>
          <w:rFonts w:hint="eastAsia"/>
          <w:sz w:val="24"/>
        </w:rPr>
        <w:t>染色体结构畸变率</w:t>
      </w:r>
      <w:r w:rsidRPr="00BE1C44">
        <w:rPr>
          <w:rFonts w:hint="eastAsia"/>
          <w:sz w:val="24"/>
        </w:rPr>
        <w:t>）</w:t>
      </w:r>
      <w:r w:rsidRPr="005740E6">
        <w:rPr>
          <w:rFonts w:hint="eastAsia"/>
          <w:sz w:val="24"/>
        </w:rPr>
        <w:t>。</w:t>
      </w:r>
      <w:r w:rsidRPr="0058426B">
        <w:rPr>
          <w:rFonts w:hint="eastAsia"/>
          <w:sz w:val="24"/>
        </w:rPr>
        <w:t>可用</w:t>
      </w:r>
      <w:r w:rsidRPr="00B50178">
        <w:rPr>
          <w:sz w:val="24"/>
        </w:rPr>
        <w:t>χ</w:t>
      </w:r>
      <w:r w:rsidRPr="009460A9">
        <w:rPr>
          <w:sz w:val="24"/>
          <w:vertAlign w:val="superscript"/>
        </w:rPr>
        <w:t>2</w:t>
      </w:r>
      <w:r w:rsidRPr="00B50178">
        <w:rPr>
          <w:sz w:val="24"/>
        </w:rPr>
        <w:t>检验</w:t>
      </w:r>
      <w:r w:rsidRPr="0058426B">
        <w:rPr>
          <w:rFonts w:hint="eastAsia"/>
          <w:sz w:val="24"/>
        </w:rPr>
        <w:t>或其他适当的统计学方法对所得试验数据进行统计学分析。</w:t>
      </w:r>
    </w:p>
    <w:p w14:paraId="1ADF7097" w14:textId="59E1A7ED" w:rsidR="00236FB4" w:rsidRPr="005740E6" w:rsidRDefault="00236FB4" w:rsidP="00236FB4">
      <w:pPr>
        <w:adjustRightInd w:val="0"/>
        <w:snapToGrid w:val="0"/>
        <w:spacing w:line="360" w:lineRule="auto"/>
        <w:ind w:firstLineChars="200" w:firstLine="480"/>
        <w:jc w:val="both"/>
        <w:rPr>
          <w:noProof/>
          <w:sz w:val="24"/>
        </w:rPr>
      </w:pPr>
      <w:r w:rsidRPr="009A0E46">
        <w:rPr>
          <w:rFonts w:hint="eastAsia"/>
          <w:noProof/>
          <w:sz w:val="24"/>
        </w:rPr>
        <w:t>试验数据按不同处理条件、不同组别列表提供</w:t>
      </w:r>
      <w:r w:rsidRPr="005740E6">
        <w:rPr>
          <w:rFonts w:hint="eastAsia"/>
          <w:noProof/>
          <w:sz w:val="24"/>
        </w:rPr>
        <w:t>，包括细胞毒性大小和沉淀情况；观察的细胞数、含有结构畸变染色体的细胞数、</w:t>
      </w:r>
      <w:bookmarkStart w:id="10" w:name="_Hlk172574635"/>
      <w:r w:rsidRPr="005740E6">
        <w:rPr>
          <w:rFonts w:hint="eastAsia"/>
          <w:noProof/>
          <w:sz w:val="24"/>
        </w:rPr>
        <w:t>染色体结构畸变率</w:t>
      </w:r>
      <w:bookmarkEnd w:id="10"/>
      <w:r w:rsidRPr="005740E6">
        <w:rPr>
          <w:rFonts w:hint="eastAsia"/>
          <w:noProof/>
          <w:sz w:val="24"/>
        </w:rPr>
        <w:t>、不同类型染色体畸变数及其频率等。多倍体和内复制等数目畸变、裂隙应单独记录，不计入总的畸变率中。虽然非整倍体剂可诱导多倍体产生，但仅多倍体产生并不能提示</w:t>
      </w:r>
      <w:r w:rsidR="00286EA0">
        <w:rPr>
          <w:rFonts w:hint="eastAsia"/>
          <w:noProof/>
          <w:sz w:val="24"/>
        </w:rPr>
        <w:t>受试物</w:t>
      </w:r>
      <w:r w:rsidRPr="005740E6">
        <w:rPr>
          <w:rFonts w:hint="eastAsia"/>
          <w:noProof/>
          <w:sz w:val="24"/>
        </w:rPr>
        <w:t>具有诱导非整倍体的潜力，多倍体数目的增加提示</w:t>
      </w:r>
      <w:r w:rsidR="00286EA0">
        <w:rPr>
          <w:rFonts w:hint="eastAsia"/>
          <w:noProof/>
          <w:sz w:val="24"/>
        </w:rPr>
        <w:t>受试物</w:t>
      </w:r>
      <w:r w:rsidRPr="005740E6">
        <w:rPr>
          <w:rFonts w:hint="eastAsia"/>
          <w:noProof/>
          <w:sz w:val="24"/>
        </w:rPr>
        <w:t>可能会抑制有丝分裂或诱导染色体数目畸变。出现染色体内复制的细胞数增多提示</w:t>
      </w:r>
      <w:r w:rsidR="00286EA0">
        <w:rPr>
          <w:rFonts w:hint="eastAsia"/>
          <w:noProof/>
          <w:sz w:val="24"/>
        </w:rPr>
        <w:t>受试物</w:t>
      </w:r>
      <w:r w:rsidRPr="005740E6">
        <w:rPr>
          <w:rFonts w:hint="eastAsia"/>
          <w:noProof/>
          <w:sz w:val="24"/>
        </w:rPr>
        <w:t>可能会影响细胞周期。</w:t>
      </w:r>
      <w:r w:rsidR="00632B7B">
        <w:rPr>
          <w:rFonts w:hint="eastAsia"/>
          <w:noProof/>
          <w:sz w:val="24"/>
        </w:rPr>
        <w:t>同时，提供</w:t>
      </w:r>
      <w:r w:rsidR="00632B7B" w:rsidRPr="00632B7B">
        <w:rPr>
          <w:rFonts w:hint="eastAsia"/>
          <w:noProof/>
          <w:sz w:val="24"/>
        </w:rPr>
        <w:t>本实验室历史性的阴性对照和阳性对照资料，包括范围、均值、标准差、</w:t>
      </w:r>
      <w:r w:rsidR="00632B7B" w:rsidRPr="00632B7B">
        <w:rPr>
          <w:rFonts w:hint="eastAsia"/>
          <w:noProof/>
          <w:sz w:val="24"/>
        </w:rPr>
        <w:t>95%</w:t>
      </w:r>
      <w:r w:rsidR="00632B7B" w:rsidRPr="00632B7B">
        <w:rPr>
          <w:rFonts w:hint="eastAsia"/>
          <w:noProof/>
          <w:sz w:val="24"/>
        </w:rPr>
        <w:t>置信区间和样品数等。</w:t>
      </w:r>
    </w:p>
    <w:p w14:paraId="60EF04E3" w14:textId="77777777" w:rsidR="00CD2A3A" w:rsidRPr="00245359" w:rsidRDefault="00CD2A3A" w:rsidP="00CD2A3A">
      <w:pPr>
        <w:adjustRightInd w:val="0"/>
        <w:snapToGrid w:val="0"/>
        <w:spacing w:line="360" w:lineRule="auto"/>
        <w:ind w:firstLineChars="200" w:firstLine="480"/>
        <w:jc w:val="both"/>
        <w:rPr>
          <w:noProof/>
          <w:sz w:val="24"/>
        </w:rPr>
      </w:pPr>
      <w:r w:rsidRPr="005740E6">
        <w:rPr>
          <w:rFonts w:hint="eastAsia"/>
          <w:noProof/>
          <w:sz w:val="24"/>
        </w:rPr>
        <w:lastRenderedPageBreak/>
        <w:t>在阴性对照组畸变率在历史阴性对照范围内、阳性对照组畸变率在历史阳性对照范围内且较阴性对照组显著</w:t>
      </w:r>
      <w:r w:rsidRPr="00FC79E7">
        <w:rPr>
          <w:rFonts w:hint="eastAsia"/>
          <w:noProof/>
          <w:sz w:val="24"/>
        </w:rPr>
        <w:t>升高</w:t>
      </w:r>
      <w:r w:rsidRPr="005740E6">
        <w:rPr>
          <w:rFonts w:hint="eastAsia"/>
          <w:noProof/>
          <w:sz w:val="24"/>
        </w:rPr>
        <w:t>、细胞毒性符合要求前提下</w:t>
      </w:r>
      <w:r w:rsidRPr="006E57AB">
        <w:rPr>
          <w:rFonts w:hint="eastAsia"/>
          <w:noProof/>
          <w:sz w:val="24"/>
        </w:rPr>
        <w:t>，</w:t>
      </w:r>
      <w:r w:rsidRPr="00245359">
        <w:rPr>
          <w:rFonts w:hint="eastAsia"/>
          <w:noProof/>
          <w:sz w:val="24"/>
        </w:rPr>
        <w:t>若同时满足以下情况可判定为阳性结果，若均不满足则判定为阴性结果：</w:t>
      </w:r>
    </w:p>
    <w:p w14:paraId="4C9B53CD" w14:textId="5D79E8A3" w:rsidR="00CD2A3A" w:rsidRPr="00245359" w:rsidRDefault="00CD2A3A" w:rsidP="00CD2A3A">
      <w:pPr>
        <w:adjustRightInd w:val="0"/>
        <w:snapToGrid w:val="0"/>
        <w:spacing w:line="360" w:lineRule="auto"/>
        <w:ind w:firstLineChars="200" w:firstLine="480"/>
        <w:jc w:val="both"/>
        <w:rPr>
          <w:noProof/>
          <w:sz w:val="24"/>
        </w:rPr>
      </w:pPr>
      <w:r w:rsidRPr="00245359">
        <w:rPr>
          <w:rFonts w:hint="eastAsia"/>
          <w:noProof/>
          <w:sz w:val="24"/>
        </w:rPr>
        <w:t>（</w:t>
      </w:r>
      <w:r w:rsidRPr="00245359">
        <w:rPr>
          <w:noProof/>
          <w:sz w:val="24"/>
        </w:rPr>
        <w:t>1</w:t>
      </w:r>
      <w:r w:rsidRPr="00245359">
        <w:rPr>
          <w:rFonts w:hint="eastAsia"/>
          <w:noProof/>
          <w:sz w:val="24"/>
        </w:rPr>
        <w:t>）与阴性对照组相比，受试物在任一处理条件下至少一个浓度组染色体结构畸变率显著升高；</w:t>
      </w:r>
    </w:p>
    <w:p w14:paraId="7DEAC96B" w14:textId="77777777" w:rsidR="00CD2A3A" w:rsidRPr="00245359" w:rsidRDefault="00CD2A3A" w:rsidP="00CD2A3A">
      <w:pPr>
        <w:adjustRightInd w:val="0"/>
        <w:snapToGrid w:val="0"/>
        <w:spacing w:line="360" w:lineRule="auto"/>
        <w:ind w:firstLineChars="200" w:firstLine="480"/>
        <w:jc w:val="both"/>
        <w:rPr>
          <w:noProof/>
          <w:sz w:val="24"/>
        </w:rPr>
      </w:pPr>
      <w:r w:rsidRPr="00245359">
        <w:rPr>
          <w:rFonts w:hint="eastAsia"/>
          <w:noProof/>
          <w:sz w:val="24"/>
        </w:rPr>
        <w:t>（</w:t>
      </w:r>
      <w:r w:rsidRPr="00245359">
        <w:rPr>
          <w:noProof/>
          <w:sz w:val="24"/>
        </w:rPr>
        <w:t>2</w:t>
      </w:r>
      <w:r w:rsidRPr="00245359">
        <w:rPr>
          <w:rFonts w:hint="eastAsia"/>
          <w:noProof/>
          <w:sz w:val="24"/>
        </w:rPr>
        <w:t>）升高具有浓度依赖性；</w:t>
      </w:r>
    </w:p>
    <w:p w14:paraId="08EF0B4E" w14:textId="6EEE152C" w:rsidR="00236FB4" w:rsidRPr="001204DD" w:rsidRDefault="00CD2A3A" w:rsidP="00CD2A3A">
      <w:pPr>
        <w:adjustRightInd w:val="0"/>
        <w:snapToGrid w:val="0"/>
        <w:spacing w:line="360" w:lineRule="auto"/>
        <w:ind w:firstLineChars="200" w:firstLine="480"/>
        <w:jc w:val="both"/>
        <w:rPr>
          <w:noProof/>
          <w:sz w:val="24"/>
        </w:rPr>
      </w:pPr>
      <w:r w:rsidRPr="00245359">
        <w:rPr>
          <w:rFonts w:hint="eastAsia"/>
          <w:noProof/>
          <w:sz w:val="24"/>
        </w:rPr>
        <w:t>（</w:t>
      </w:r>
      <w:r w:rsidRPr="00245359">
        <w:rPr>
          <w:noProof/>
          <w:sz w:val="24"/>
        </w:rPr>
        <w:t>3</w:t>
      </w:r>
      <w:r w:rsidRPr="00245359">
        <w:rPr>
          <w:rFonts w:hint="eastAsia"/>
          <w:noProof/>
          <w:sz w:val="24"/>
        </w:rPr>
        <w:t>）受试物组畸变率在阴性对照历史范围之外</w:t>
      </w:r>
      <w:bookmarkStart w:id="11" w:name="_Hlk172376042"/>
      <w:r w:rsidR="00236FB4" w:rsidRPr="00480731">
        <w:rPr>
          <w:rFonts w:hint="eastAsia"/>
          <w:noProof/>
          <w:sz w:val="24"/>
        </w:rPr>
        <w:t>。</w:t>
      </w:r>
      <w:bookmarkEnd w:id="11"/>
    </w:p>
    <w:p w14:paraId="55915686" w14:textId="77777777" w:rsidR="00236FB4" w:rsidRPr="005740E6" w:rsidRDefault="00236FB4" w:rsidP="00236FB4">
      <w:pPr>
        <w:adjustRightInd w:val="0"/>
        <w:snapToGrid w:val="0"/>
        <w:spacing w:line="360" w:lineRule="auto"/>
        <w:ind w:firstLineChars="200" w:firstLine="480"/>
        <w:jc w:val="both"/>
        <w:rPr>
          <w:noProof/>
          <w:sz w:val="24"/>
        </w:rPr>
      </w:pPr>
      <w:r w:rsidRPr="005740E6">
        <w:rPr>
          <w:rFonts w:hint="eastAsia"/>
          <w:noProof/>
          <w:sz w:val="24"/>
        </w:rPr>
        <w:t>结果判定时应首先考虑试验结果的生物学意义，统计学分析有助于结果的评价。</w:t>
      </w:r>
    </w:p>
    <w:p w14:paraId="43B12C72" w14:textId="77777777" w:rsidR="00236FB4" w:rsidRPr="005740E6" w:rsidRDefault="00236FB4" w:rsidP="00236FB4">
      <w:pPr>
        <w:adjustRightInd w:val="0"/>
        <w:snapToGrid w:val="0"/>
        <w:spacing w:line="360" w:lineRule="auto"/>
        <w:ind w:firstLineChars="200" w:firstLine="480"/>
        <w:jc w:val="both"/>
        <w:rPr>
          <w:noProof/>
          <w:sz w:val="24"/>
        </w:rPr>
      </w:pPr>
      <w:r w:rsidRPr="005740E6">
        <w:rPr>
          <w:rFonts w:hint="eastAsia"/>
          <w:noProof/>
          <w:sz w:val="24"/>
        </w:rPr>
        <w:t>该试验出现阳性结果应考虑阳性结果是否归因于体内不存在的条件（如</w:t>
      </w:r>
      <w:r w:rsidRPr="005740E6">
        <w:rPr>
          <w:rFonts w:hint="eastAsia"/>
          <w:noProof/>
          <w:sz w:val="24"/>
        </w:rPr>
        <w:t>pH</w:t>
      </w:r>
      <w:r w:rsidRPr="005740E6">
        <w:rPr>
          <w:rFonts w:hint="eastAsia"/>
          <w:noProof/>
          <w:sz w:val="24"/>
        </w:rPr>
        <w:t>值、渗透压、沉淀物）、是否仅发生于产生最高细胞毒性的浓度（如阳性结果发生于细胞生长抑制≥</w:t>
      </w:r>
      <w:r w:rsidRPr="005740E6">
        <w:rPr>
          <w:rFonts w:hint="eastAsia"/>
          <w:noProof/>
          <w:sz w:val="24"/>
        </w:rPr>
        <w:t>50%</w:t>
      </w:r>
      <w:r w:rsidRPr="005740E6">
        <w:rPr>
          <w:rFonts w:hint="eastAsia"/>
          <w:noProof/>
          <w:sz w:val="24"/>
        </w:rPr>
        <w:t>时）。</w:t>
      </w:r>
    </w:p>
    <w:p w14:paraId="7F02DC1D" w14:textId="7FC1D8CE" w:rsidR="00236FB4" w:rsidRPr="005740E6" w:rsidRDefault="00236FB4" w:rsidP="00236FB4">
      <w:pPr>
        <w:adjustRightInd w:val="0"/>
        <w:snapToGrid w:val="0"/>
        <w:spacing w:line="360" w:lineRule="auto"/>
        <w:ind w:firstLineChars="200" w:firstLine="480"/>
        <w:jc w:val="both"/>
        <w:rPr>
          <w:noProof/>
          <w:sz w:val="24"/>
        </w:rPr>
      </w:pPr>
      <w:r>
        <w:rPr>
          <w:rFonts w:hint="eastAsia"/>
          <w:sz w:val="24"/>
        </w:rPr>
        <w:t>明显</w:t>
      </w:r>
      <w:r w:rsidRPr="005740E6">
        <w:rPr>
          <w:rFonts w:hint="eastAsia"/>
          <w:sz w:val="24"/>
        </w:rPr>
        <w:t>的阳性或阴性结果通常不需要重复试验。</w:t>
      </w:r>
      <w:bookmarkStart w:id="12" w:name="_Hlk180135115"/>
      <w:r w:rsidRPr="005740E6">
        <w:rPr>
          <w:rFonts w:hint="eastAsia"/>
          <w:noProof/>
          <w:sz w:val="24"/>
        </w:rPr>
        <w:t>如果结果不是</w:t>
      </w:r>
      <w:r>
        <w:rPr>
          <w:rFonts w:hint="eastAsia"/>
          <w:noProof/>
          <w:sz w:val="24"/>
        </w:rPr>
        <w:t>明显</w:t>
      </w:r>
      <w:r w:rsidRPr="005740E6">
        <w:rPr>
          <w:rFonts w:hint="eastAsia"/>
          <w:noProof/>
          <w:sz w:val="24"/>
        </w:rPr>
        <w:t>的阳性或阴性结果，需要分析更多的细胞（当可行时），或者通过改变试验条件进行重复试验（如改变试验浓度间距、改变代谢活化条件等）</w:t>
      </w:r>
      <w:bookmarkEnd w:id="12"/>
      <w:r w:rsidRPr="005740E6">
        <w:rPr>
          <w:rFonts w:hint="eastAsia"/>
          <w:noProof/>
          <w:sz w:val="24"/>
        </w:rPr>
        <w:t>。</w:t>
      </w:r>
    </w:p>
    <w:p w14:paraId="2BC34869" w14:textId="662428F3" w:rsidR="00236FB4" w:rsidRPr="005740E6" w:rsidRDefault="00C16659" w:rsidP="00236FB4">
      <w:pPr>
        <w:adjustRightInd w:val="0"/>
        <w:snapToGrid w:val="0"/>
        <w:spacing w:line="360" w:lineRule="auto"/>
        <w:ind w:firstLineChars="200" w:firstLine="560"/>
        <w:jc w:val="both"/>
        <w:rPr>
          <w:rFonts w:ascii="黑体" w:eastAsia="黑体" w:hAnsi="黑体" w:hint="eastAsia"/>
          <w:noProof/>
          <w:sz w:val="28"/>
          <w:szCs w:val="28"/>
        </w:rPr>
      </w:pPr>
      <w:r>
        <w:rPr>
          <w:rFonts w:ascii="黑体" w:eastAsia="黑体" w:hAnsi="黑体" w:hint="eastAsia"/>
          <w:noProof/>
          <w:sz w:val="28"/>
          <w:szCs w:val="28"/>
        </w:rPr>
        <w:t>四</w:t>
      </w:r>
      <w:r w:rsidR="00236FB4" w:rsidRPr="005740E6">
        <w:rPr>
          <w:rFonts w:ascii="黑体" w:eastAsia="黑体" w:hAnsi="黑体" w:hint="eastAsia"/>
          <w:noProof/>
          <w:sz w:val="28"/>
          <w:szCs w:val="28"/>
        </w:rPr>
        <w:t>、试验报告</w:t>
      </w:r>
    </w:p>
    <w:p w14:paraId="366A1331" w14:textId="22897C26" w:rsidR="00510DB1" w:rsidRPr="00FD463D" w:rsidRDefault="00A8743A" w:rsidP="00510DB1">
      <w:pPr>
        <w:adjustRightInd w:val="0"/>
        <w:snapToGrid w:val="0"/>
        <w:spacing w:line="360" w:lineRule="auto"/>
        <w:ind w:firstLineChars="200" w:firstLine="480"/>
        <w:jc w:val="both"/>
        <w:rPr>
          <w:rFonts w:eastAsiaTheme="minorEastAsia"/>
          <w:sz w:val="24"/>
        </w:rPr>
      </w:pPr>
      <w:r w:rsidRPr="000500D4">
        <w:rPr>
          <w:sz w:val="24"/>
        </w:rPr>
        <w:t>按照兽药</w:t>
      </w:r>
      <w:r w:rsidRPr="000500D4">
        <w:rPr>
          <w:sz w:val="24"/>
        </w:rPr>
        <w:t>GLP</w:t>
      </w:r>
      <w:r w:rsidRPr="000500D4">
        <w:rPr>
          <w:sz w:val="24"/>
        </w:rPr>
        <w:t>要求撰写试验</w:t>
      </w:r>
      <w:r w:rsidRPr="00245359">
        <w:rPr>
          <w:rFonts w:ascii="宋体" w:hAnsi="宋体" w:hint="eastAsia"/>
          <w:sz w:val="24"/>
        </w:rPr>
        <w:t>报告</w:t>
      </w:r>
      <w:r w:rsidR="00510DB1" w:rsidRPr="00245359">
        <w:rPr>
          <w:rFonts w:ascii="宋体" w:hAnsi="宋体" w:hint="eastAsia"/>
          <w:sz w:val="24"/>
        </w:rPr>
        <w:t>。</w:t>
      </w:r>
    </w:p>
    <w:p w14:paraId="1DCA8440" w14:textId="0F6C8A4F" w:rsidR="00236FB4" w:rsidRPr="005740E6" w:rsidRDefault="00C16659" w:rsidP="00C16659">
      <w:pPr>
        <w:adjustRightInd w:val="0"/>
        <w:snapToGrid w:val="0"/>
        <w:spacing w:line="360" w:lineRule="auto"/>
        <w:ind w:firstLineChars="200" w:firstLine="560"/>
        <w:jc w:val="both"/>
        <w:rPr>
          <w:rFonts w:ascii="黑体" w:eastAsia="黑体" w:hAnsi="黑体" w:hint="eastAsia"/>
          <w:noProof/>
          <w:sz w:val="28"/>
          <w:szCs w:val="28"/>
        </w:rPr>
      </w:pPr>
      <w:r>
        <w:rPr>
          <w:rFonts w:ascii="黑体" w:eastAsia="黑体" w:hAnsi="黑体" w:hint="eastAsia"/>
          <w:noProof/>
          <w:sz w:val="28"/>
          <w:szCs w:val="28"/>
        </w:rPr>
        <w:t>五</w:t>
      </w:r>
      <w:r w:rsidR="00510DB1" w:rsidRPr="00245359">
        <w:rPr>
          <w:rFonts w:ascii="黑体" w:eastAsia="黑体" w:hAnsi="黑体" w:hint="eastAsia"/>
          <w:noProof/>
          <w:sz w:val="28"/>
          <w:szCs w:val="28"/>
        </w:rPr>
        <w:t>、</w:t>
      </w:r>
      <w:r w:rsidR="00236FB4" w:rsidRPr="005740E6">
        <w:rPr>
          <w:rFonts w:ascii="黑体" w:eastAsia="黑体" w:hAnsi="黑体" w:hint="eastAsia"/>
          <w:noProof/>
          <w:sz w:val="28"/>
          <w:szCs w:val="28"/>
        </w:rPr>
        <w:t>附录</w:t>
      </w:r>
    </w:p>
    <w:p w14:paraId="7D405FB1"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r w:rsidRPr="005740E6">
        <w:rPr>
          <w:rFonts w:ascii="黑体" w:eastAsia="黑体" w:hAnsi="黑体" w:hint="eastAsia"/>
          <w:noProof/>
          <w:sz w:val="24"/>
        </w:rPr>
        <w:t>（一）</w:t>
      </w:r>
      <w:bookmarkStart w:id="13" w:name="_Hlk177813990"/>
      <w:r w:rsidRPr="005740E6">
        <w:rPr>
          <w:rFonts w:ascii="黑体" w:eastAsia="黑体" w:hAnsi="黑体" w:hint="eastAsia"/>
          <w:noProof/>
          <w:sz w:val="24"/>
        </w:rPr>
        <w:t>细胞毒性评价公式</w:t>
      </w:r>
      <w:bookmarkEnd w:id="13"/>
    </w:p>
    <w:p w14:paraId="29A3FE57" w14:textId="77777777" w:rsidR="00236FB4" w:rsidRPr="006E637E" w:rsidRDefault="00236FB4" w:rsidP="00236FB4">
      <w:pPr>
        <w:pStyle w:val="a2"/>
        <w:numPr>
          <w:ilvl w:val="0"/>
          <w:numId w:val="0"/>
        </w:numPr>
        <w:adjustRightInd w:val="0"/>
        <w:snapToGrid w:val="0"/>
        <w:spacing w:line="360" w:lineRule="auto"/>
        <w:ind w:firstLineChars="200" w:firstLine="480"/>
        <w:jc w:val="both"/>
        <w:outlineLvl w:val="9"/>
        <w:rPr>
          <w:rFonts w:eastAsia="宋体"/>
          <w:sz w:val="24"/>
          <w:szCs w:val="24"/>
        </w:rPr>
      </w:pPr>
      <w:r w:rsidRPr="006E637E">
        <w:rPr>
          <w:rFonts w:eastAsia="宋体"/>
          <w:sz w:val="24"/>
          <w:szCs w:val="24"/>
        </w:rPr>
        <w:t>1.</w:t>
      </w:r>
      <w:r w:rsidRPr="006E637E">
        <w:rPr>
          <w:rFonts w:eastAsia="宋体" w:hint="eastAsia"/>
          <w:sz w:val="24"/>
          <w:szCs w:val="24"/>
        </w:rPr>
        <w:t>对于哺乳动物细胞，可采用相对群体倍增数（</w:t>
      </w:r>
      <w:r w:rsidRPr="006E637E">
        <w:rPr>
          <w:rFonts w:eastAsia="宋体"/>
          <w:sz w:val="24"/>
          <w:szCs w:val="24"/>
        </w:rPr>
        <w:t>Relative population doubling</w:t>
      </w:r>
      <w:r w:rsidRPr="006E637E">
        <w:rPr>
          <w:rFonts w:eastAsia="宋体" w:hint="eastAsia"/>
          <w:sz w:val="24"/>
          <w:szCs w:val="24"/>
        </w:rPr>
        <w:t>，</w:t>
      </w:r>
      <w:r w:rsidRPr="006E637E">
        <w:rPr>
          <w:rFonts w:eastAsia="宋体"/>
          <w:sz w:val="24"/>
          <w:szCs w:val="24"/>
        </w:rPr>
        <w:t>RPD</w:t>
      </w:r>
      <w:r w:rsidRPr="006E637E">
        <w:rPr>
          <w:rFonts w:eastAsia="宋体" w:hint="eastAsia"/>
          <w:sz w:val="24"/>
          <w:szCs w:val="24"/>
        </w:rPr>
        <w:t>）和相对细胞增长数（</w:t>
      </w:r>
      <w:proofErr w:type="spellStart"/>
      <w:r w:rsidRPr="006E637E">
        <w:rPr>
          <w:rFonts w:eastAsia="宋体"/>
          <w:sz w:val="24"/>
          <w:szCs w:val="24"/>
        </w:rPr>
        <w:t>Relativeincrease</w:t>
      </w:r>
      <w:proofErr w:type="spellEnd"/>
      <w:r w:rsidRPr="006E637E">
        <w:rPr>
          <w:rFonts w:eastAsia="宋体"/>
          <w:sz w:val="24"/>
          <w:szCs w:val="24"/>
        </w:rPr>
        <w:t xml:space="preserve"> in cell count</w:t>
      </w:r>
      <w:r w:rsidRPr="006E637E">
        <w:rPr>
          <w:rFonts w:eastAsia="宋体" w:hint="eastAsia"/>
          <w:sz w:val="24"/>
          <w:szCs w:val="24"/>
        </w:rPr>
        <w:t>，</w:t>
      </w:r>
      <w:r w:rsidRPr="006E637E">
        <w:rPr>
          <w:rFonts w:eastAsia="宋体"/>
          <w:sz w:val="24"/>
          <w:szCs w:val="24"/>
        </w:rPr>
        <w:t>RICC</w:t>
      </w:r>
      <w:r w:rsidRPr="006E637E">
        <w:rPr>
          <w:rFonts w:eastAsia="宋体" w:hint="eastAsia"/>
          <w:sz w:val="24"/>
          <w:szCs w:val="24"/>
        </w:rPr>
        <w:t>）的减少来反映细胞毒性。</w:t>
      </w:r>
    </w:p>
    <w:p w14:paraId="13611EF5" w14:textId="77777777" w:rsidR="00236FB4" w:rsidRPr="006E637E" w:rsidRDefault="00236FB4" w:rsidP="00236FB4">
      <w:pPr>
        <w:adjustRightInd w:val="0"/>
        <w:snapToGrid w:val="0"/>
        <w:spacing w:line="360" w:lineRule="auto"/>
        <w:ind w:firstLineChars="200" w:firstLine="480"/>
        <w:jc w:val="both"/>
        <w:rPr>
          <w:sz w:val="24"/>
        </w:rPr>
      </w:pPr>
      <w:r w:rsidRPr="006E637E">
        <w:rPr>
          <w:rFonts w:hint="eastAsia"/>
          <w:noProof/>
          <w:kern w:val="0"/>
          <w:sz w:val="24"/>
        </w:rPr>
        <w:t>（</w:t>
      </w:r>
      <w:r w:rsidRPr="006E637E">
        <w:rPr>
          <w:noProof/>
          <w:kern w:val="0"/>
          <w:sz w:val="24"/>
        </w:rPr>
        <w:t>1</w:t>
      </w:r>
      <w:r w:rsidRPr="006E637E">
        <w:rPr>
          <w:rFonts w:hint="eastAsia"/>
          <w:noProof/>
          <w:kern w:val="0"/>
          <w:sz w:val="24"/>
        </w:rPr>
        <w:t>）细胞毒性（</w:t>
      </w:r>
      <w:r w:rsidRPr="006E637E">
        <w:rPr>
          <w:noProof/>
          <w:kern w:val="0"/>
          <w:sz w:val="24"/>
        </w:rPr>
        <w:t>%</w:t>
      </w:r>
      <w:r w:rsidRPr="006E637E">
        <w:rPr>
          <w:rFonts w:hint="eastAsia"/>
          <w:noProof/>
          <w:kern w:val="0"/>
          <w:sz w:val="24"/>
        </w:rPr>
        <w:t>）</w:t>
      </w:r>
      <w:r w:rsidRPr="005740E6">
        <w:rPr>
          <w:rFonts w:hint="eastAsia"/>
          <w:noProof/>
          <w:kern w:val="0"/>
          <w:sz w:val="24"/>
        </w:rPr>
        <w:t>=</w:t>
      </w:r>
      <w:r w:rsidRPr="006E637E">
        <w:rPr>
          <w:noProof/>
          <w:kern w:val="0"/>
          <w:sz w:val="24"/>
        </w:rPr>
        <w:t>100%</w:t>
      </w:r>
      <w:r w:rsidRPr="005740E6">
        <w:rPr>
          <w:rFonts w:hint="eastAsia"/>
          <w:noProof/>
          <w:kern w:val="0"/>
          <w:sz w:val="24"/>
        </w:rPr>
        <w:t>-</w:t>
      </w:r>
      <w:r w:rsidRPr="006E637E">
        <w:rPr>
          <w:noProof/>
          <w:kern w:val="0"/>
          <w:sz w:val="24"/>
        </w:rPr>
        <w:t>RPD</w:t>
      </w:r>
    </w:p>
    <w:p w14:paraId="0FED5E32"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式中：</w:t>
      </w:r>
    </w:p>
    <w:p w14:paraId="204358B1" w14:textId="5202BDA2" w:rsidR="00236FB4" w:rsidRPr="005740E6" w:rsidRDefault="00236FB4" w:rsidP="00236FB4">
      <w:pPr>
        <w:adjustRightInd w:val="0"/>
        <w:snapToGrid w:val="0"/>
        <w:spacing w:line="360" w:lineRule="auto"/>
        <w:ind w:firstLineChars="200" w:firstLine="480"/>
        <w:rPr>
          <w:sz w:val="24"/>
        </w:rPr>
      </w:pPr>
      <w:r w:rsidRPr="006E637E">
        <w:rPr>
          <w:sz w:val="24"/>
        </w:rPr>
        <w:t>RPD</w:t>
      </w:r>
      <w:r w:rsidRPr="005740E6">
        <w:rPr>
          <w:rFonts w:hint="eastAsia"/>
          <w:sz w:val="24"/>
        </w:rPr>
        <w:t>=</w:t>
      </w:r>
      <m:oMath>
        <m:f>
          <m:fPr>
            <m:ctrlPr>
              <w:rPr>
                <w:rFonts w:ascii="Cambria Math" w:hAnsi="Cambria Math"/>
                <w:sz w:val="24"/>
              </w:rPr>
            </m:ctrlPr>
          </m:fPr>
          <m:num>
            <w:proofErr w:type="gramStart"/>
            <m:r>
              <m:rPr>
                <m:nor/>
              </m:rPr>
              <w:rPr>
                <w:rFonts w:ascii="Cambria Math" w:hint="eastAsia"/>
                <w:sz w:val="24"/>
              </w:rPr>
              <m:t>受试物</m:t>
            </m:r>
            <m:r>
              <m:rPr>
                <m:nor/>
              </m:rPr>
              <w:rPr>
                <w:rFonts w:hint="eastAsia"/>
                <w:sz w:val="24"/>
              </w:rPr>
              <m:t>组细胞</m:t>
            </m:r>
            <w:proofErr w:type="gramEnd"/>
            <m:r>
              <m:rPr>
                <m:nor/>
              </m:rPr>
              <w:rPr>
                <w:rFonts w:hint="eastAsia"/>
                <w:sz w:val="24"/>
              </w:rPr>
              <m:t>倍增数</m:t>
            </m:r>
          </m:num>
          <m:den>
            <m:r>
              <m:rPr>
                <m:nor/>
              </m:rPr>
              <w:rPr>
                <w:rFonts w:hint="eastAsia"/>
                <w:sz w:val="24"/>
              </w:rPr>
              <m:t>溶剂对照组细胞倍增数</m:t>
            </m:r>
          </m:den>
        </m:f>
      </m:oMath>
      <w:r w:rsidRPr="005740E6">
        <w:rPr>
          <w:rFonts w:hint="eastAsia"/>
          <w:sz w:val="24"/>
        </w:rPr>
        <w:t>×</w:t>
      </w:r>
      <w:r w:rsidRPr="006E637E">
        <w:rPr>
          <w:sz w:val="24"/>
        </w:rPr>
        <w:t>100%</w:t>
      </w:r>
    </w:p>
    <w:p w14:paraId="52AE3E70"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倍增数</w:t>
      </w:r>
      <w:r w:rsidRPr="005740E6">
        <w:rPr>
          <w:rFonts w:hint="eastAsia"/>
          <w:sz w:val="24"/>
        </w:rPr>
        <w:t>=</w:t>
      </w:r>
      <w:r w:rsidRPr="00BE1C44">
        <w:rPr>
          <w:sz w:val="24"/>
        </w:rPr>
        <w:t>log</w:t>
      </w:r>
      <w:r w:rsidRPr="005740E6">
        <w:rPr>
          <w:rFonts w:hint="eastAsia"/>
          <w:sz w:val="24"/>
        </w:rPr>
        <w:t>（</w:t>
      </w:r>
      <w:r w:rsidRPr="00BE1C44">
        <w:rPr>
          <w:rFonts w:hint="eastAsia"/>
          <w:sz w:val="24"/>
        </w:rPr>
        <w:t>试验后细胞数</w:t>
      </w:r>
      <w:r w:rsidRPr="005740E6">
        <w:rPr>
          <w:rFonts w:hint="eastAsia"/>
          <w:sz w:val="24"/>
        </w:rPr>
        <w:t>/</w:t>
      </w:r>
      <w:r w:rsidRPr="00BE1C44">
        <w:rPr>
          <w:rFonts w:hint="eastAsia"/>
          <w:sz w:val="24"/>
        </w:rPr>
        <w:t>试验前细胞数）</w:t>
      </w:r>
      <w:r w:rsidRPr="005740E6">
        <w:rPr>
          <w:rFonts w:hint="eastAsia"/>
          <w:sz w:val="24"/>
        </w:rPr>
        <w:t>/</w:t>
      </w:r>
      <w:r w:rsidRPr="00BE1C44">
        <w:rPr>
          <w:sz w:val="24"/>
        </w:rPr>
        <w:t>log2</w:t>
      </w:r>
    </w:p>
    <w:p w14:paraId="019E3B1D" w14:textId="77777777" w:rsidR="00236FB4" w:rsidRPr="006E637E" w:rsidRDefault="00236FB4" w:rsidP="00236FB4">
      <w:pPr>
        <w:adjustRightInd w:val="0"/>
        <w:snapToGrid w:val="0"/>
        <w:spacing w:line="360" w:lineRule="auto"/>
        <w:ind w:firstLineChars="200" w:firstLine="480"/>
        <w:jc w:val="both"/>
        <w:rPr>
          <w:iCs/>
          <w:sz w:val="24"/>
        </w:rPr>
      </w:pPr>
      <w:r w:rsidRPr="006E637E">
        <w:rPr>
          <w:rFonts w:hint="eastAsia"/>
          <w:sz w:val="24"/>
        </w:rPr>
        <w:t>（</w:t>
      </w:r>
      <w:r w:rsidRPr="006E637E">
        <w:rPr>
          <w:sz w:val="24"/>
        </w:rPr>
        <w:t>2</w:t>
      </w:r>
      <w:r w:rsidRPr="006E637E">
        <w:rPr>
          <w:rFonts w:hint="eastAsia"/>
          <w:sz w:val="24"/>
        </w:rPr>
        <w:t>）</w:t>
      </w:r>
      <w:r w:rsidRPr="006E637E">
        <w:rPr>
          <w:rFonts w:hint="eastAsia"/>
          <w:noProof/>
          <w:kern w:val="0"/>
          <w:sz w:val="24"/>
        </w:rPr>
        <w:t>细胞毒性（</w:t>
      </w:r>
      <w:r w:rsidRPr="006E637E">
        <w:rPr>
          <w:noProof/>
          <w:kern w:val="0"/>
          <w:sz w:val="24"/>
        </w:rPr>
        <w:t>%</w:t>
      </w:r>
      <w:r w:rsidRPr="006E637E">
        <w:rPr>
          <w:rFonts w:hint="eastAsia"/>
          <w:noProof/>
          <w:kern w:val="0"/>
          <w:sz w:val="24"/>
        </w:rPr>
        <w:t>）</w:t>
      </w:r>
      <w:r w:rsidRPr="005740E6">
        <w:rPr>
          <w:rFonts w:hint="eastAsia"/>
          <w:noProof/>
          <w:kern w:val="0"/>
          <w:sz w:val="24"/>
        </w:rPr>
        <w:t>=</w:t>
      </w:r>
      <w:r w:rsidRPr="006E637E">
        <w:rPr>
          <w:noProof/>
          <w:kern w:val="0"/>
          <w:sz w:val="24"/>
        </w:rPr>
        <w:t>100%</w:t>
      </w:r>
      <w:r w:rsidRPr="005740E6">
        <w:rPr>
          <w:rFonts w:hint="eastAsia"/>
          <w:noProof/>
          <w:kern w:val="0"/>
          <w:sz w:val="24"/>
        </w:rPr>
        <w:t>-</w:t>
      </w:r>
      <w:r w:rsidRPr="006E637E">
        <w:rPr>
          <w:noProof/>
          <w:kern w:val="0"/>
          <w:sz w:val="24"/>
        </w:rPr>
        <w:t>RICC</w:t>
      </w:r>
    </w:p>
    <w:p w14:paraId="2E4E74A5" w14:textId="77777777" w:rsidR="00236FB4" w:rsidRPr="006E637E" w:rsidRDefault="00236FB4" w:rsidP="00236FB4">
      <w:pPr>
        <w:adjustRightInd w:val="0"/>
        <w:snapToGrid w:val="0"/>
        <w:spacing w:line="360" w:lineRule="auto"/>
        <w:ind w:firstLineChars="200" w:firstLine="480"/>
        <w:jc w:val="both"/>
        <w:rPr>
          <w:sz w:val="24"/>
        </w:rPr>
      </w:pPr>
      <w:r w:rsidRPr="006E637E">
        <w:rPr>
          <w:rFonts w:hint="eastAsia"/>
          <w:sz w:val="24"/>
        </w:rPr>
        <w:t>式中：</w:t>
      </w:r>
    </w:p>
    <w:p w14:paraId="12DD9EC2" w14:textId="4E31CDE3" w:rsidR="00236FB4" w:rsidRPr="00245359" w:rsidRDefault="00236FB4" w:rsidP="00236FB4">
      <w:pPr>
        <w:adjustRightInd w:val="0"/>
        <w:snapToGrid w:val="0"/>
        <w:spacing w:line="360" w:lineRule="auto"/>
        <w:ind w:firstLineChars="200" w:firstLine="480"/>
        <w:rPr>
          <w:color w:val="000000" w:themeColor="text1"/>
          <w:sz w:val="24"/>
        </w:rPr>
      </w:pPr>
      <w:r w:rsidRPr="00245359">
        <w:rPr>
          <w:color w:val="000000" w:themeColor="text1"/>
          <w:sz w:val="24"/>
        </w:rPr>
        <w:lastRenderedPageBreak/>
        <w:t>RICC=</w:t>
      </w:r>
      <m:oMath>
        <m:f>
          <m:fPr>
            <m:ctrlPr>
              <w:rPr>
                <w:rFonts w:ascii="Cambria Math" w:hAnsi="Cambria Math"/>
                <w:color w:val="000000" w:themeColor="text1"/>
                <w:sz w:val="24"/>
              </w:rPr>
            </m:ctrlPr>
          </m:fPr>
          <m:num>
            <w:proofErr w:type="gramStart"/>
            <m:r>
              <m:rPr>
                <m:nor/>
              </m:rPr>
              <w:rPr>
                <w:rFonts w:ascii="Cambria Math" w:hint="eastAsia"/>
                <w:color w:val="000000" w:themeColor="text1"/>
                <w:sz w:val="24"/>
              </w:rPr>
              <m:t>受试物</m:t>
            </m:r>
            <m:r>
              <m:rPr>
                <m:nor/>
              </m:rPr>
              <w:rPr>
                <w:rFonts w:hint="eastAsia"/>
                <w:color w:val="000000" w:themeColor="text1"/>
                <w:sz w:val="24"/>
              </w:rPr>
              <m:t>组细胞</m:t>
            </m:r>
            <w:proofErr w:type="gramEnd"/>
            <m:r>
              <m:rPr>
                <m:nor/>
              </m:rPr>
              <w:rPr>
                <w:rFonts w:hint="eastAsia"/>
                <w:color w:val="000000" w:themeColor="text1"/>
                <w:sz w:val="24"/>
              </w:rPr>
              <m:t>增加数（试验后</m:t>
            </m:r>
            <m:r>
              <m:rPr>
                <m:nor/>
              </m:rPr>
              <w:rPr>
                <w:color w:val="000000" w:themeColor="text1"/>
                <w:sz w:val="24"/>
              </w:rPr>
              <m:t>-</m:t>
            </m:r>
            <m:r>
              <m:rPr>
                <m:nor/>
              </m:rPr>
              <w:rPr>
                <w:rFonts w:hint="eastAsia"/>
                <w:color w:val="000000" w:themeColor="text1"/>
                <w:sz w:val="24"/>
              </w:rPr>
              <m:t>试验前）</m:t>
            </m:r>
          </m:num>
          <m:den>
            <m:r>
              <m:rPr>
                <m:nor/>
              </m:rPr>
              <w:rPr>
                <w:rFonts w:hint="eastAsia"/>
                <w:color w:val="000000" w:themeColor="text1"/>
                <w:sz w:val="24"/>
              </w:rPr>
              <m:t>溶剂对照组细胞增加数（试验后</m:t>
            </m:r>
            <m:r>
              <m:rPr>
                <m:nor/>
              </m:rPr>
              <w:rPr>
                <w:color w:val="000000" w:themeColor="text1"/>
                <w:sz w:val="24"/>
              </w:rPr>
              <m:t>-</m:t>
            </m:r>
            <m:r>
              <m:rPr>
                <m:nor/>
              </m:rPr>
              <w:rPr>
                <w:rFonts w:hint="eastAsia"/>
                <w:color w:val="000000" w:themeColor="text1"/>
                <w:sz w:val="24"/>
              </w:rPr>
              <m:t>试验前）</m:t>
            </m:r>
          </m:den>
        </m:f>
      </m:oMath>
      <w:r w:rsidRPr="00245359">
        <w:rPr>
          <w:rFonts w:hint="eastAsia"/>
          <w:color w:val="000000" w:themeColor="text1"/>
          <w:sz w:val="24"/>
        </w:rPr>
        <w:t>×</w:t>
      </w:r>
      <w:r w:rsidRPr="00245359">
        <w:rPr>
          <w:color w:val="000000" w:themeColor="text1"/>
          <w:sz w:val="24"/>
        </w:rPr>
        <w:t>100%</w:t>
      </w:r>
    </w:p>
    <w:p w14:paraId="5B203C06" w14:textId="77777777" w:rsidR="00236FB4" w:rsidRPr="00245359" w:rsidRDefault="00236FB4" w:rsidP="00236FB4">
      <w:pPr>
        <w:pStyle w:val="a2"/>
        <w:numPr>
          <w:ilvl w:val="0"/>
          <w:numId w:val="0"/>
        </w:numPr>
        <w:adjustRightInd w:val="0"/>
        <w:snapToGrid w:val="0"/>
        <w:spacing w:line="360" w:lineRule="auto"/>
        <w:ind w:firstLineChars="200" w:firstLine="480"/>
        <w:jc w:val="both"/>
        <w:outlineLvl w:val="9"/>
        <w:rPr>
          <w:rFonts w:eastAsia="宋体"/>
          <w:color w:val="000000" w:themeColor="text1"/>
          <w:sz w:val="24"/>
          <w:szCs w:val="24"/>
        </w:rPr>
      </w:pPr>
      <w:r w:rsidRPr="00245359">
        <w:rPr>
          <w:rFonts w:eastAsia="宋体"/>
          <w:color w:val="000000" w:themeColor="text1"/>
          <w:sz w:val="24"/>
          <w:szCs w:val="24"/>
        </w:rPr>
        <w:t>2.</w:t>
      </w:r>
      <w:r w:rsidRPr="00245359">
        <w:rPr>
          <w:rFonts w:eastAsia="宋体" w:hint="eastAsia"/>
          <w:color w:val="000000" w:themeColor="text1"/>
          <w:sz w:val="24"/>
          <w:szCs w:val="24"/>
        </w:rPr>
        <w:t>对于外周血淋巴细胞，可通过有丝分裂指数（</w:t>
      </w:r>
      <w:r w:rsidRPr="00245359">
        <w:rPr>
          <w:rFonts w:eastAsia="宋体"/>
          <w:color w:val="000000" w:themeColor="text1"/>
          <w:sz w:val="24"/>
          <w:szCs w:val="24"/>
        </w:rPr>
        <w:t>Mitotic Index</w:t>
      </w:r>
      <w:r w:rsidRPr="00245359">
        <w:rPr>
          <w:rFonts w:eastAsia="宋体" w:hint="eastAsia"/>
          <w:color w:val="000000" w:themeColor="text1"/>
          <w:sz w:val="24"/>
          <w:szCs w:val="24"/>
        </w:rPr>
        <w:t>，</w:t>
      </w:r>
      <w:r w:rsidRPr="00245359">
        <w:rPr>
          <w:rFonts w:eastAsia="宋体"/>
          <w:color w:val="000000" w:themeColor="text1"/>
          <w:sz w:val="24"/>
          <w:szCs w:val="24"/>
        </w:rPr>
        <w:t>MI</w:t>
      </w:r>
      <w:r w:rsidRPr="00245359">
        <w:rPr>
          <w:rFonts w:eastAsia="宋体" w:hint="eastAsia"/>
          <w:color w:val="000000" w:themeColor="text1"/>
          <w:sz w:val="24"/>
          <w:szCs w:val="24"/>
        </w:rPr>
        <w:t>）的降低来反映细胞毒性。</w:t>
      </w:r>
    </w:p>
    <w:p w14:paraId="7EAB9592" w14:textId="77777777" w:rsidR="00236FB4" w:rsidRPr="00245359" w:rsidRDefault="00236FB4" w:rsidP="00236FB4">
      <w:pPr>
        <w:adjustRightInd w:val="0"/>
        <w:snapToGrid w:val="0"/>
        <w:spacing w:line="360" w:lineRule="auto"/>
        <w:ind w:firstLineChars="200" w:firstLine="480"/>
        <w:jc w:val="both"/>
        <w:rPr>
          <w:color w:val="000000" w:themeColor="text1"/>
          <w:sz w:val="24"/>
        </w:rPr>
      </w:pPr>
      <w:r w:rsidRPr="00245359">
        <w:rPr>
          <w:rFonts w:hint="eastAsia"/>
          <w:noProof/>
          <w:color w:val="000000" w:themeColor="text1"/>
          <w:kern w:val="0"/>
          <w:sz w:val="24"/>
        </w:rPr>
        <w:t>细胞毒性（</w:t>
      </w:r>
      <w:r w:rsidRPr="00245359">
        <w:rPr>
          <w:noProof/>
          <w:color w:val="000000" w:themeColor="text1"/>
          <w:kern w:val="0"/>
          <w:sz w:val="24"/>
        </w:rPr>
        <w:t>%</w:t>
      </w:r>
      <w:r w:rsidRPr="00245359">
        <w:rPr>
          <w:rFonts w:hint="eastAsia"/>
          <w:noProof/>
          <w:color w:val="000000" w:themeColor="text1"/>
          <w:kern w:val="0"/>
          <w:sz w:val="24"/>
        </w:rPr>
        <w:t>）</w:t>
      </w:r>
      <w:r w:rsidRPr="00245359">
        <w:rPr>
          <w:noProof/>
          <w:color w:val="000000" w:themeColor="text1"/>
          <w:kern w:val="0"/>
          <w:sz w:val="24"/>
        </w:rPr>
        <w:t>=100%-MI</w:t>
      </w:r>
    </w:p>
    <w:p w14:paraId="1795ED0A" w14:textId="77777777" w:rsidR="00236FB4" w:rsidRPr="00245359" w:rsidRDefault="00236FB4" w:rsidP="00236FB4">
      <w:pPr>
        <w:adjustRightInd w:val="0"/>
        <w:snapToGrid w:val="0"/>
        <w:spacing w:line="360" w:lineRule="auto"/>
        <w:ind w:firstLineChars="200" w:firstLine="480"/>
        <w:jc w:val="both"/>
        <w:rPr>
          <w:color w:val="000000" w:themeColor="text1"/>
        </w:rPr>
      </w:pPr>
      <w:r w:rsidRPr="00245359">
        <w:rPr>
          <w:rFonts w:hint="eastAsia"/>
          <w:color w:val="000000" w:themeColor="text1"/>
          <w:sz w:val="24"/>
        </w:rPr>
        <w:t>式中：</w:t>
      </w:r>
    </w:p>
    <w:p w14:paraId="6DB35ACB" w14:textId="77777777" w:rsidR="00236FB4" w:rsidRPr="005740E6" w:rsidRDefault="00236FB4" w:rsidP="00236FB4">
      <w:pPr>
        <w:adjustRightInd w:val="0"/>
        <w:snapToGrid w:val="0"/>
        <w:spacing w:line="360" w:lineRule="auto"/>
        <w:ind w:firstLineChars="200" w:firstLine="480"/>
        <w:rPr>
          <w:sz w:val="24"/>
        </w:rPr>
      </w:pPr>
      <w:r w:rsidRPr="006E637E">
        <w:rPr>
          <w:sz w:val="24"/>
        </w:rPr>
        <w:t>MI</w:t>
      </w:r>
      <w:r w:rsidRPr="005740E6">
        <w:rPr>
          <w:rFonts w:hint="eastAsia"/>
          <w:sz w:val="24"/>
        </w:rPr>
        <w:t>=</w:t>
      </w:r>
      <m:oMath>
        <m:f>
          <m:fPr>
            <m:ctrlPr>
              <w:rPr>
                <w:rFonts w:ascii="Cambria Math" w:hAnsi="Cambria Math"/>
                <w:sz w:val="24"/>
              </w:rPr>
            </m:ctrlPr>
          </m:fPr>
          <m:num>
            <m:r>
              <m:rPr>
                <m:nor/>
              </m:rPr>
              <w:rPr>
                <w:rFonts w:hint="eastAsia"/>
                <w:sz w:val="24"/>
              </w:rPr>
              <m:t>有丝分裂细胞数</m:t>
            </m:r>
          </m:num>
          <m:den>
            <m:r>
              <m:rPr>
                <m:nor/>
              </m:rPr>
              <w:rPr>
                <w:rFonts w:hint="eastAsia"/>
                <w:sz w:val="24"/>
              </w:rPr>
              <m:t>观察细胞总数</m:t>
            </m:r>
          </m:den>
        </m:f>
      </m:oMath>
      <w:r w:rsidRPr="005740E6">
        <w:rPr>
          <w:rFonts w:hint="eastAsia"/>
          <w:sz w:val="24"/>
        </w:rPr>
        <w:t>×</w:t>
      </w:r>
      <w:r w:rsidRPr="006E637E">
        <w:rPr>
          <w:sz w:val="24"/>
        </w:rPr>
        <w:t>100%</w:t>
      </w:r>
    </w:p>
    <w:p w14:paraId="14AF0680"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r w:rsidRPr="005740E6">
        <w:rPr>
          <w:rFonts w:ascii="黑体" w:eastAsia="黑体" w:hAnsi="黑体" w:hint="eastAsia"/>
          <w:noProof/>
          <w:sz w:val="24"/>
        </w:rPr>
        <w:t>（二）</w:t>
      </w:r>
      <w:bookmarkStart w:id="14" w:name="_Hlk177814007"/>
      <w:r w:rsidRPr="005740E6">
        <w:rPr>
          <w:rFonts w:ascii="黑体" w:eastAsia="黑体" w:hAnsi="黑体" w:hint="eastAsia"/>
          <w:noProof/>
          <w:sz w:val="24"/>
        </w:rPr>
        <w:t>推荐的阳性对照物</w:t>
      </w:r>
      <w:bookmarkEnd w:id="14"/>
    </w:p>
    <w:p w14:paraId="19990D95" w14:textId="67B455BA" w:rsidR="00236FB4" w:rsidRPr="009F03C8" w:rsidRDefault="00236FB4" w:rsidP="00236FB4">
      <w:pPr>
        <w:pStyle w:val="a2"/>
        <w:numPr>
          <w:ilvl w:val="0"/>
          <w:numId w:val="0"/>
        </w:numPr>
        <w:adjustRightInd w:val="0"/>
        <w:snapToGrid w:val="0"/>
        <w:spacing w:line="360" w:lineRule="auto"/>
        <w:ind w:firstLineChars="200" w:firstLine="480"/>
        <w:jc w:val="both"/>
        <w:outlineLvl w:val="9"/>
        <w:rPr>
          <w:rFonts w:eastAsia="宋体"/>
          <w:sz w:val="24"/>
          <w:szCs w:val="24"/>
        </w:rPr>
      </w:pPr>
      <w:r w:rsidRPr="00404303">
        <w:rPr>
          <w:rFonts w:eastAsia="宋体"/>
          <w:sz w:val="24"/>
          <w:szCs w:val="24"/>
        </w:rPr>
        <w:t>可根据</w:t>
      </w:r>
      <w:r w:rsidR="00286EA0">
        <w:rPr>
          <w:rFonts w:eastAsia="宋体"/>
          <w:sz w:val="24"/>
          <w:szCs w:val="24"/>
        </w:rPr>
        <w:t>受试物</w:t>
      </w:r>
      <w:r w:rsidRPr="00404303">
        <w:rPr>
          <w:rFonts w:eastAsia="宋体"/>
          <w:sz w:val="24"/>
          <w:szCs w:val="24"/>
        </w:rPr>
        <w:t>的性质和结构选择适宜的阳性对照物，阳性对照物应是已知的断裂剂，能引起可检出的、并可重复的阳性结果。当不存在外源性活化系统时，可使用甲磺酸甲酯（</w:t>
      </w:r>
      <w:r>
        <w:rPr>
          <w:rFonts w:eastAsia="宋体" w:hint="eastAsia"/>
          <w:sz w:val="24"/>
          <w:szCs w:val="24"/>
        </w:rPr>
        <w:t>M</w:t>
      </w:r>
      <w:r w:rsidRPr="009F03C8">
        <w:rPr>
          <w:rFonts w:eastAsia="宋体"/>
          <w:sz w:val="24"/>
          <w:szCs w:val="24"/>
        </w:rPr>
        <w:t xml:space="preserve">ethyl </w:t>
      </w:r>
      <w:proofErr w:type="spellStart"/>
      <w:r w:rsidRPr="009F03C8">
        <w:rPr>
          <w:rFonts w:eastAsia="宋体"/>
          <w:sz w:val="24"/>
          <w:szCs w:val="24"/>
        </w:rPr>
        <w:t>methanesulphonate</w:t>
      </w:r>
      <w:proofErr w:type="spellEnd"/>
      <w:r w:rsidRPr="00404303">
        <w:rPr>
          <w:rFonts w:eastAsia="宋体"/>
          <w:sz w:val="24"/>
          <w:szCs w:val="24"/>
        </w:rPr>
        <w:t>，</w:t>
      </w:r>
      <w:r w:rsidRPr="009F03C8">
        <w:rPr>
          <w:rFonts w:eastAsia="宋体"/>
          <w:sz w:val="24"/>
          <w:szCs w:val="24"/>
        </w:rPr>
        <w:t>MMS</w:t>
      </w:r>
      <w:r w:rsidRPr="00404303">
        <w:rPr>
          <w:rFonts w:eastAsia="宋体"/>
          <w:sz w:val="24"/>
          <w:szCs w:val="24"/>
        </w:rPr>
        <w:t>）、甲磺酸乙酯（</w:t>
      </w:r>
      <w:r>
        <w:rPr>
          <w:rFonts w:eastAsia="宋体" w:hint="eastAsia"/>
          <w:sz w:val="24"/>
          <w:szCs w:val="24"/>
        </w:rPr>
        <w:t>E</w:t>
      </w:r>
      <w:r w:rsidRPr="009F03C8">
        <w:rPr>
          <w:rFonts w:eastAsia="宋体"/>
          <w:sz w:val="24"/>
          <w:szCs w:val="24"/>
        </w:rPr>
        <w:t xml:space="preserve">thyl </w:t>
      </w:r>
      <w:proofErr w:type="spellStart"/>
      <w:r w:rsidRPr="009F03C8">
        <w:rPr>
          <w:rFonts w:eastAsia="宋体"/>
          <w:sz w:val="24"/>
          <w:szCs w:val="24"/>
        </w:rPr>
        <w:t>methanesulphonate</w:t>
      </w:r>
      <w:proofErr w:type="spellEnd"/>
      <w:r w:rsidRPr="00404303">
        <w:rPr>
          <w:rFonts w:eastAsia="宋体"/>
          <w:sz w:val="24"/>
          <w:szCs w:val="24"/>
        </w:rPr>
        <w:t>，</w:t>
      </w:r>
      <w:r w:rsidRPr="009F03C8">
        <w:rPr>
          <w:rFonts w:eastAsia="宋体"/>
          <w:sz w:val="24"/>
          <w:szCs w:val="24"/>
        </w:rPr>
        <w:t>EMS</w:t>
      </w:r>
      <w:r w:rsidRPr="00404303">
        <w:rPr>
          <w:rFonts w:eastAsia="宋体"/>
          <w:sz w:val="24"/>
          <w:szCs w:val="24"/>
        </w:rPr>
        <w:t>）、乙基亚硝基</w:t>
      </w:r>
      <w:proofErr w:type="gramStart"/>
      <w:r w:rsidRPr="00404303">
        <w:rPr>
          <w:rFonts w:eastAsia="宋体"/>
          <w:sz w:val="24"/>
          <w:szCs w:val="24"/>
        </w:rPr>
        <w:t>脲</w:t>
      </w:r>
      <w:proofErr w:type="gramEnd"/>
      <w:r w:rsidRPr="00404303">
        <w:rPr>
          <w:rFonts w:eastAsia="宋体"/>
          <w:sz w:val="24"/>
          <w:szCs w:val="24"/>
        </w:rPr>
        <w:t>（</w:t>
      </w:r>
      <w:r>
        <w:rPr>
          <w:rFonts w:eastAsia="宋体" w:hint="eastAsia"/>
          <w:sz w:val="24"/>
          <w:szCs w:val="24"/>
        </w:rPr>
        <w:t>E</w:t>
      </w:r>
      <w:r w:rsidRPr="009F03C8">
        <w:rPr>
          <w:rFonts w:eastAsia="宋体"/>
          <w:sz w:val="24"/>
          <w:szCs w:val="24"/>
        </w:rPr>
        <w:t>thyl nitrosourea</w:t>
      </w:r>
      <w:r w:rsidRPr="00404303">
        <w:rPr>
          <w:rFonts w:eastAsia="宋体"/>
          <w:sz w:val="24"/>
          <w:szCs w:val="24"/>
        </w:rPr>
        <w:t>，</w:t>
      </w:r>
      <w:r w:rsidRPr="009F03C8">
        <w:rPr>
          <w:rFonts w:eastAsia="宋体"/>
          <w:sz w:val="24"/>
          <w:szCs w:val="24"/>
        </w:rPr>
        <w:t>ENU</w:t>
      </w:r>
      <w:r w:rsidRPr="00404303">
        <w:rPr>
          <w:rFonts w:eastAsia="宋体"/>
          <w:sz w:val="24"/>
          <w:szCs w:val="24"/>
        </w:rPr>
        <w:t>）、丝裂霉素</w:t>
      </w:r>
      <w:r w:rsidRPr="009F03C8">
        <w:rPr>
          <w:rFonts w:eastAsia="宋体"/>
          <w:sz w:val="24"/>
          <w:szCs w:val="24"/>
        </w:rPr>
        <w:t>C</w:t>
      </w:r>
      <w:r w:rsidRPr="00404303">
        <w:rPr>
          <w:rFonts w:eastAsia="宋体"/>
          <w:sz w:val="24"/>
          <w:szCs w:val="24"/>
        </w:rPr>
        <w:t>（</w:t>
      </w:r>
      <w:r>
        <w:rPr>
          <w:rFonts w:eastAsia="宋体" w:hint="eastAsia"/>
          <w:sz w:val="24"/>
          <w:szCs w:val="24"/>
        </w:rPr>
        <w:t>M</w:t>
      </w:r>
      <w:r w:rsidRPr="009F03C8">
        <w:rPr>
          <w:rFonts w:eastAsia="宋体"/>
          <w:sz w:val="24"/>
          <w:szCs w:val="24"/>
        </w:rPr>
        <w:t>itomycin C</w:t>
      </w:r>
      <w:r w:rsidRPr="00404303">
        <w:rPr>
          <w:rFonts w:eastAsia="宋体"/>
          <w:sz w:val="24"/>
          <w:szCs w:val="24"/>
        </w:rPr>
        <w:t>）、</w:t>
      </w:r>
      <w:r w:rsidRPr="009F03C8">
        <w:rPr>
          <w:rFonts w:eastAsia="宋体"/>
          <w:sz w:val="24"/>
          <w:szCs w:val="24"/>
        </w:rPr>
        <w:t>4-</w:t>
      </w:r>
      <w:r w:rsidRPr="00404303">
        <w:rPr>
          <w:rFonts w:eastAsia="宋体"/>
          <w:sz w:val="24"/>
          <w:szCs w:val="24"/>
        </w:rPr>
        <w:t>硝基喹啉</w:t>
      </w:r>
      <w:r w:rsidRPr="009F03C8">
        <w:rPr>
          <w:rFonts w:eastAsia="宋体"/>
          <w:sz w:val="24"/>
          <w:szCs w:val="24"/>
        </w:rPr>
        <w:t>-N-</w:t>
      </w:r>
      <w:r w:rsidRPr="00404303">
        <w:rPr>
          <w:rFonts w:eastAsia="宋体"/>
          <w:sz w:val="24"/>
          <w:szCs w:val="24"/>
        </w:rPr>
        <w:t>氧化物（</w:t>
      </w:r>
      <w:r w:rsidRPr="009F03C8">
        <w:rPr>
          <w:rFonts w:eastAsia="宋体"/>
          <w:sz w:val="24"/>
          <w:szCs w:val="24"/>
        </w:rPr>
        <w:t>4-nitroquinoline-N-oxide</w:t>
      </w:r>
      <w:r w:rsidRPr="006A7CD3">
        <w:rPr>
          <w:rFonts w:eastAsia="宋体"/>
          <w:sz w:val="24"/>
          <w:szCs w:val="24"/>
        </w:rPr>
        <w:t>）等。当存在外源性活化系统存在时，可使用苯并（</w:t>
      </w:r>
      <w:r w:rsidRPr="009F03C8">
        <w:rPr>
          <w:rFonts w:eastAsia="宋体"/>
          <w:sz w:val="24"/>
          <w:szCs w:val="24"/>
        </w:rPr>
        <w:t>a</w:t>
      </w:r>
      <w:r w:rsidRPr="00404303">
        <w:rPr>
          <w:rFonts w:eastAsia="宋体"/>
          <w:sz w:val="24"/>
          <w:szCs w:val="24"/>
        </w:rPr>
        <w:t>）</w:t>
      </w:r>
      <w:proofErr w:type="gramStart"/>
      <w:r w:rsidRPr="00404303">
        <w:rPr>
          <w:rFonts w:eastAsia="宋体"/>
          <w:sz w:val="24"/>
          <w:szCs w:val="24"/>
        </w:rPr>
        <w:t>芘</w:t>
      </w:r>
      <w:proofErr w:type="gramEnd"/>
      <w:r w:rsidRPr="009F03C8">
        <w:rPr>
          <w:rFonts w:eastAsia="宋体"/>
          <w:sz w:val="24"/>
          <w:szCs w:val="24"/>
        </w:rPr>
        <w:t>[</w:t>
      </w:r>
      <w:r>
        <w:rPr>
          <w:rFonts w:eastAsia="宋体" w:hint="eastAsia"/>
          <w:sz w:val="24"/>
          <w:szCs w:val="24"/>
        </w:rPr>
        <w:t>B</w:t>
      </w:r>
      <w:r w:rsidRPr="009F03C8">
        <w:rPr>
          <w:rFonts w:eastAsia="宋体"/>
          <w:sz w:val="24"/>
          <w:szCs w:val="24"/>
        </w:rPr>
        <w:t>enzo(a)pyrene]</w:t>
      </w:r>
      <w:r w:rsidRPr="00404303">
        <w:rPr>
          <w:rFonts w:eastAsia="宋体"/>
          <w:sz w:val="24"/>
          <w:szCs w:val="24"/>
        </w:rPr>
        <w:t>、环磷酰胺（</w:t>
      </w:r>
      <w:r w:rsidRPr="009F03C8">
        <w:rPr>
          <w:rFonts w:eastAsia="宋体"/>
          <w:sz w:val="24"/>
          <w:szCs w:val="24"/>
        </w:rPr>
        <w:t>cyclophosphamide</w:t>
      </w:r>
      <w:r w:rsidRPr="00404303">
        <w:rPr>
          <w:rFonts w:eastAsia="宋体"/>
          <w:sz w:val="24"/>
          <w:szCs w:val="24"/>
        </w:rPr>
        <w:t>）等。</w:t>
      </w:r>
    </w:p>
    <w:p w14:paraId="1FAABFA2" w14:textId="77777777" w:rsidR="00236FB4" w:rsidRPr="009F03C8" w:rsidRDefault="00236FB4" w:rsidP="00236FB4">
      <w:pPr>
        <w:pStyle w:val="a2"/>
        <w:numPr>
          <w:ilvl w:val="0"/>
          <w:numId w:val="0"/>
        </w:numPr>
        <w:adjustRightInd w:val="0"/>
        <w:snapToGrid w:val="0"/>
        <w:spacing w:line="360" w:lineRule="auto"/>
        <w:ind w:firstLineChars="200" w:firstLine="480"/>
        <w:jc w:val="both"/>
        <w:outlineLvl w:val="9"/>
        <w:rPr>
          <w:rFonts w:eastAsia="宋体"/>
          <w:sz w:val="24"/>
          <w:szCs w:val="24"/>
        </w:rPr>
      </w:pPr>
      <w:r w:rsidRPr="00404303">
        <w:rPr>
          <w:rFonts w:eastAsia="宋体"/>
          <w:sz w:val="24"/>
          <w:szCs w:val="24"/>
        </w:rPr>
        <w:t>不加</w:t>
      </w:r>
      <w:r w:rsidRPr="009F03C8">
        <w:rPr>
          <w:rFonts w:eastAsia="宋体"/>
          <w:sz w:val="24"/>
          <w:szCs w:val="24"/>
        </w:rPr>
        <w:t>S9</w:t>
      </w:r>
      <w:r w:rsidRPr="00404303">
        <w:rPr>
          <w:rFonts w:eastAsia="宋体"/>
          <w:sz w:val="24"/>
          <w:szCs w:val="24"/>
        </w:rPr>
        <w:t>的阳性对照常用丝裂霉素</w:t>
      </w:r>
      <w:r w:rsidRPr="009F03C8">
        <w:rPr>
          <w:rFonts w:eastAsia="宋体"/>
          <w:sz w:val="24"/>
          <w:szCs w:val="24"/>
        </w:rPr>
        <w:t>C</w:t>
      </w:r>
      <w:r w:rsidRPr="00404303">
        <w:rPr>
          <w:rFonts w:eastAsia="宋体"/>
          <w:sz w:val="24"/>
          <w:szCs w:val="24"/>
        </w:rPr>
        <w:t>，其常用浓度为</w:t>
      </w:r>
      <w:r w:rsidRPr="009F03C8">
        <w:rPr>
          <w:rFonts w:eastAsia="宋体"/>
          <w:sz w:val="24"/>
          <w:szCs w:val="24"/>
        </w:rPr>
        <w:t>0.2</w:t>
      </w:r>
      <w:r w:rsidRPr="00404303">
        <w:rPr>
          <w:rFonts w:eastAsia="宋体"/>
          <w:sz w:val="24"/>
          <w:szCs w:val="24"/>
        </w:rPr>
        <w:t>μ</w:t>
      </w:r>
      <w:r w:rsidRPr="009F03C8">
        <w:rPr>
          <w:rFonts w:eastAsia="宋体"/>
          <w:sz w:val="24"/>
          <w:szCs w:val="24"/>
        </w:rPr>
        <w:t>g/ml</w:t>
      </w:r>
      <w:r w:rsidRPr="00404303">
        <w:rPr>
          <w:rFonts w:eastAsia="宋体"/>
          <w:sz w:val="24"/>
          <w:szCs w:val="24"/>
        </w:rPr>
        <w:t>～</w:t>
      </w:r>
      <w:r w:rsidRPr="009F03C8">
        <w:rPr>
          <w:rFonts w:eastAsia="宋体"/>
          <w:sz w:val="24"/>
          <w:szCs w:val="24"/>
        </w:rPr>
        <w:t>0.8ug/ml</w:t>
      </w:r>
      <w:r w:rsidRPr="00404303">
        <w:rPr>
          <w:rFonts w:eastAsia="宋体"/>
          <w:sz w:val="24"/>
          <w:szCs w:val="24"/>
        </w:rPr>
        <w:t>，其</w:t>
      </w:r>
      <w:r w:rsidRPr="009F03C8">
        <w:rPr>
          <w:rFonts w:eastAsia="宋体"/>
          <w:sz w:val="24"/>
          <w:szCs w:val="24"/>
        </w:rPr>
        <w:t>pH</w:t>
      </w:r>
      <w:r w:rsidRPr="00404303">
        <w:rPr>
          <w:rFonts w:eastAsia="宋体"/>
          <w:sz w:val="24"/>
          <w:szCs w:val="24"/>
        </w:rPr>
        <w:t>为</w:t>
      </w:r>
      <w:r w:rsidRPr="009F03C8">
        <w:rPr>
          <w:rFonts w:eastAsia="宋体"/>
          <w:sz w:val="24"/>
          <w:szCs w:val="24"/>
        </w:rPr>
        <w:t>6</w:t>
      </w:r>
      <w:r w:rsidRPr="00404303">
        <w:rPr>
          <w:rFonts w:eastAsia="宋体"/>
          <w:sz w:val="24"/>
          <w:szCs w:val="24"/>
        </w:rPr>
        <w:t>～</w:t>
      </w:r>
      <w:r w:rsidRPr="009F03C8">
        <w:rPr>
          <w:rFonts w:eastAsia="宋体"/>
          <w:sz w:val="24"/>
          <w:szCs w:val="24"/>
        </w:rPr>
        <w:t>9</w:t>
      </w:r>
      <w:r w:rsidRPr="00404303">
        <w:rPr>
          <w:rFonts w:eastAsia="宋体"/>
          <w:sz w:val="24"/>
          <w:szCs w:val="24"/>
        </w:rPr>
        <w:t>的水溶液在</w:t>
      </w:r>
      <w:r w:rsidRPr="009F03C8">
        <w:rPr>
          <w:rFonts w:eastAsia="宋体"/>
          <w:sz w:val="24"/>
          <w:szCs w:val="24"/>
        </w:rPr>
        <w:t>0</w:t>
      </w:r>
      <w:r w:rsidRPr="00404303">
        <w:rPr>
          <w:rFonts w:eastAsia="宋体"/>
          <w:sz w:val="24"/>
          <w:szCs w:val="24"/>
        </w:rPr>
        <w:t>～</w:t>
      </w:r>
      <w:r w:rsidRPr="009F03C8">
        <w:rPr>
          <w:rFonts w:eastAsia="宋体"/>
          <w:sz w:val="24"/>
          <w:szCs w:val="24"/>
        </w:rPr>
        <w:t>5</w:t>
      </w:r>
      <w:r w:rsidRPr="009F03C8">
        <w:rPr>
          <w:color w:val="000000"/>
          <w:sz w:val="24"/>
          <w:lang w:val="x-none"/>
        </w:rPr>
        <w:t>℃</w:t>
      </w:r>
      <w:proofErr w:type="spellStart"/>
      <w:r w:rsidRPr="00404303">
        <w:rPr>
          <w:rFonts w:eastAsia="宋体"/>
          <w:sz w:val="24"/>
          <w:szCs w:val="24"/>
        </w:rPr>
        <w:t>下避光保存能存放</w:t>
      </w:r>
      <w:proofErr w:type="spellEnd"/>
      <w:r w:rsidRPr="009F03C8">
        <w:rPr>
          <w:rFonts w:eastAsia="宋体"/>
          <w:sz w:val="24"/>
          <w:szCs w:val="24"/>
        </w:rPr>
        <w:t>1</w:t>
      </w:r>
      <w:r w:rsidRPr="00404303">
        <w:rPr>
          <w:rFonts w:eastAsia="宋体"/>
          <w:sz w:val="24"/>
          <w:szCs w:val="24"/>
        </w:rPr>
        <w:t>周。加</w:t>
      </w:r>
      <w:r w:rsidRPr="009F03C8">
        <w:rPr>
          <w:rFonts w:eastAsia="宋体"/>
          <w:sz w:val="24"/>
          <w:szCs w:val="24"/>
        </w:rPr>
        <w:t>S9</w:t>
      </w:r>
      <w:r w:rsidRPr="00404303">
        <w:rPr>
          <w:rFonts w:eastAsia="宋体"/>
          <w:sz w:val="24"/>
          <w:szCs w:val="24"/>
        </w:rPr>
        <w:t>的阳性对照</w:t>
      </w:r>
      <w:proofErr w:type="gramStart"/>
      <w:r w:rsidRPr="00404303">
        <w:rPr>
          <w:rFonts w:eastAsia="宋体"/>
          <w:sz w:val="24"/>
          <w:szCs w:val="24"/>
        </w:rPr>
        <w:t>常用环</w:t>
      </w:r>
      <w:proofErr w:type="gramEnd"/>
      <w:r w:rsidRPr="00404303">
        <w:rPr>
          <w:rFonts w:eastAsia="宋体"/>
          <w:sz w:val="24"/>
          <w:szCs w:val="24"/>
        </w:rPr>
        <w:t>磷酰胺，其常用浓度为</w:t>
      </w:r>
      <w:r w:rsidRPr="009F03C8">
        <w:rPr>
          <w:rFonts w:eastAsia="宋体"/>
          <w:sz w:val="24"/>
          <w:szCs w:val="24"/>
        </w:rPr>
        <w:t>8</w:t>
      </w:r>
      <w:r w:rsidRPr="00404303">
        <w:rPr>
          <w:rFonts w:eastAsia="宋体"/>
          <w:sz w:val="24"/>
          <w:szCs w:val="24"/>
        </w:rPr>
        <w:t>μ</w:t>
      </w:r>
      <w:r w:rsidRPr="009F03C8">
        <w:rPr>
          <w:rFonts w:eastAsia="宋体"/>
          <w:sz w:val="24"/>
          <w:szCs w:val="24"/>
        </w:rPr>
        <w:t>g/ml</w:t>
      </w:r>
      <w:r w:rsidRPr="00404303">
        <w:rPr>
          <w:rFonts w:eastAsia="宋体"/>
          <w:sz w:val="24"/>
          <w:szCs w:val="24"/>
        </w:rPr>
        <w:t>～</w:t>
      </w:r>
      <w:r w:rsidRPr="009F03C8">
        <w:rPr>
          <w:rFonts w:eastAsia="宋体"/>
          <w:sz w:val="24"/>
          <w:szCs w:val="24"/>
        </w:rPr>
        <w:t>15</w:t>
      </w:r>
      <w:r w:rsidRPr="00404303">
        <w:rPr>
          <w:rFonts w:eastAsia="宋体"/>
          <w:sz w:val="24"/>
          <w:szCs w:val="24"/>
        </w:rPr>
        <w:t>μ</w:t>
      </w:r>
      <w:r w:rsidRPr="009F03C8">
        <w:rPr>
          <w:rFonts w:eastAsia="宋体"/>
          <w:sz w:val="24"/>
          <w:szCs w:val="24"/>
        </w:rPr>
        <w:t>g/ml</w:t>
      </w:r>
      <w:r w:rsidRPr="00404303">
        <w:rPr>
          <w:rFonts w:eastAsia="宋体"/>
          <w:sz w:val="24"/>
          <w:szCs w:val="24"/>
        </w:rPr>
        <w:t>。其水溶液不稳定，</w:t>
      </w:r>
      <w:proofErr w:type="gramStart"/>
      <w:r w:rsidRPr="00404303">
        <w:rPr>
          <w:rFonts w:eastAsia="宋体"/>
          <w:sz w:val="24"/>
          <w:szCs w:val="24"/>
        </w:rPr>
        <w:t>应现配</w:t>
      </w:r>
      <w:proofErr w:type="gramEnd"/>
      <w:r w:rsidRPr="00404303">
        <w:rPr>
          <w:rFonts w:eastAsia="宋体"/>
          <w:sz w:val="24"/>
          <w:szCs w:val="24"/>
        </w:rPr>
        <w:t>现用。</w:t>
      </w:r>
    </w:p>
    <w:p w14:paraId="74866DA9"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r w:rsidRPr="005740E6">
        <w:rPr>
          <w:rFonts w:ascii="黑体" w:eastAsia="黑体" w:hAnsi="黑体" w:hint="eastAsia"/>
          <w:noProof/>
          <w:sz w:val="24"/>
        </w:rPr>
        <w:t>（三）</w:t>
      </w:r>
      <w:bookmarkStart w:id="15" w:name="_Hlk183358748"/>
      <w:r w:rsidRPr="005740E6">
        <w:rPr>
          <w:rFonts w:ascii="黑体" w:eastAsia="黑体" w:hAnsi="黑体" w:hint="eastAsia"/>
          <w:noProof/>
          <w:sz w:val="24"/>
        </w:rPr>
        <w:t>染色体结构异常和数目异常种类及特征描述</w:t>
      </w:r>
      <w:bookmarkEnd w:id="15"/>
    </w:p>
    <w:p w14:paraId="6429D4FE" w14:textId="77777777" w:rsidR="00236FB4" w:rsidRPr="005740E6" w:rsidRDefault="00236FB4" w:rsidP="00236FB4">
      <w:pPr>
        <w:pStyle w:val="a2"/>
        <w:numPr>
          <w:ilvl w:val="0"/>
          <w:numId w:val="0"/>
        </w:numPr>
        <w:adjustRightInd w:val="0"/>
        <w:snapToGrid w:val="0"/>
        <w:spacing w:line="360" w:lineRule="auto"/>
        <w:jc w:val="center"/>
        <w:outlineLvl w:val="9"/>
        <w:rPr>
          <w:rFonts w:eastAsia="宋体"/>
          <w:szCs w:val="21"/>
        </w:rPr>
      </w:pPr>
      <w:r w:rsidRPr="005740E6">
        <w:rPr>
          <w:rFonts w:eastAsia="宋体" w:hAnsi="宋体" w:hint="eastAsia"/>
          <w:szCs w:val="21"/>
        </w:rPr>
        <w:t>附表</w:t>
      </w:r>
      <w:r w:rsidRPr="005740E6">
        <w:rPr>
          <w:rFonts w:eastAsia="宋体"/>
          <w:szCs w:val="21"/>
        </w:rPr>
        <w:t xml:space="preserve">1  </w:t>
      </w:r>
      <w:r w:rsidRPr="005740E6">
        <w:rPr>
          <w:rFonts w:eastAsia="宋体" w:hAnsi="宋体" w:hint="eastAsia"/>
          <w:szCs w:val="21"/>
        </w:rPr>
        <w:t>染色体结构异常和数目异常种类及特征描述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268"/>
        <w:gridCol w:w="1419"/>
        <w:gridCol w:w="3338"/>
      </w:tblGrid>
      <w:tr w:rsidR="00236FB4" w:rsidRPr="003E6C29" w14:paraId="2B0AB2B8" w14:textId="77777777" w:rsidTr="001204DD">
        <w:trPr>
          <w:trHeight w:val="569"/>
          <w:jc w:val="center"/>
        </w:trPr>
        <w:tc>
          <w:tcPr>
            <w:tcW w:w="2133" w:type="pct"/>
            <w:gridSpan w:val="2"/>
            <w:vAlign w:val="center"/>
          </w:tcPr>
          <w:p w14:paraId="33DD03FE" w14:textId="77777777" w:rsidR="00236FB4" w:rsidRPr="005740E6" w:rsidRDefault="00236FB4" w:rsidP="001204DD">
            <w:pPr>
              <w:pStyle w:val="1"/>
              <w:snapToGrid w:val="0"/>
              <w:spacing w:line="360" w:lineRule="auto"/>
              <w:jc w:val="center"/>
              <w:rPr>
                <w:rFonts w:ascii="Times New Roman" w:hAnsi="Times New Roman"/>
                <w:szCs w:val="21"/>
              </w:rPr>
            </w:pPr>
            <w:r w:rsidRPr="005740E6">
              <w:rPr>
                <w:rFonts w:ascii="Times New Roman" w:hAnsi="宋体" w:hint="eastAsia"/>
                <w:szCs w:val="21"/>
              </w:rPr>
              <w:t>染色体数目异常</w:t>
            </w:r>
          </w:p>
        </w:tc>
        <w:tc>
          <w:tcPr>
            <w:tcW w:w="2867" w:type="pct"/>
            <w:gridSpan w:val="2"/>
            <w:vAlign w:val="center"/>
          </w:tcPr>
          <w:p w14:paraId="40EEFA72" w14:textId="77777777" w:rsidR="00236FB4" w:rsidRPr="005740E6" w:rsidRDefault="00236FB4" w:rsidP="001204DD">
            <w:pPr>
              <w:pStyle w:val="1"/>
              <w:snapToGrid w:val="0"/>
              <w:spacing w:line="360" w:lineRule="auto"/>
              <w:jc w:val="center"/>
              <w:rPr>
                <w:rFonts w:ascii="Times New Roman" w:hAnsi="Times New Roman"/>
                <w:szCs w:val="21"/>
              </w:rPr>
            </w:pPr>
            <w:r w:rsidRPr="005740E6">
              <w:rPr>
                <w:rFonts w:ascii="Times New Roman" w:hAnsi="宋体" w:hint="eastAsia"/>
                <w:szCs w:val="21"/>
              </w:rPr>
              <w:t>染色体结构异常</w:t>
            </w:r>
          </w:p>
        </w:tc>
      </w:tr>
      <w:tr w:rsidR="00236FB4" w:rsidRPr="003E6C29" w14:paraId="19F1A613" w14:textId="77777777" w:rsidTr="001204DD">
        <w:trPr>
          <w:trHeight w:val="155"/>
          <w:jc w:val="center"/>
        </w:trPr>
        <w:tc>
          <w:tcPr>
            <w:tcW w:w="766" w:type="pct"/>
            <w:vAlign w:val="center"/>
          </w:tcPr>
          <w:p w14:paraId="54770560"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种类</w:t>
            </w:r>
          </w:p>
        </w:tc>
        <w:tc>
          <w:tcPr>
            <w:tcW w:w="1367" w:type="pct"/>
            <w:vAlign w:val="center"/>
          </w:tcPr>
          <w:p w14:paraId="7516071E"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特征描述</w:t>
            </w:r>
          </w:p>
        </w:tc>
        <w:tc>
          <w:tcPr>
            <w:tcW w:w="855" w:type="pct"/>
            <w:vAlign w:val="center"/>
          </w:tcPr>
          <w:p w14:paraId="691C0288"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种类</w:t>
            </w:r>
          </w:p>
        </w:tc>
        <w:tc>
          <w:tcPr>
            <w:tcW w:w="2012" w:type="pct"/>
            <w:vAlign w:val="center"/>
          </w:tcPr>
          <w:p w14:paraId="729A0653"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特征描述</w:t>
            </w:r>
          </w:p>
        </w:tc>
      </w:tr>
      <w:tr w:rsidR="00236FB4" w:rsidRPr="003E6C29" w14:paraId="3D96FD5A" w14:textId="77777777" w:rsidTr="001204DD">
        <w:trPr>
          <w:trHeight w:val="285"/>
          <w:jc w:val="center"/>
        </w:trPr>
        <w:tc>
          <w:tcPr>
            <w:tcW w:w="766" w:type="pct"/>
            <w:vAlign w:val="center"/>
          </w:tcPr>
          <w:p w14:paraId="667CED8F"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多倍体</w:t>
            </w:r>
          </w:p>
        </w:tc>
        <w:tc>
          <w:tcPr>
            <w:tcW w:w="1367" w:type="pct"/>
            <w:vAlign w:val="center"/>
          </w:tcPr>
          <w:p w14:paraId="61B26BCD" w14:textId="77777777" w:rsidR="00236FB4" w:rsidRPr="005740E6" w:rsidRDefault="00236FB4" w:rsidP="001204DD">
            <w:pPr>
              <w:adjustRightInd w:val="0"/>
              <w:snapToGrid w:val="0"/>
              <w:spacing w:line="360" w:lineRule="auto"/>
              <w:rPr>
                <w:szCs w:val="21"/>
              </w:rPr>
            </w:pPr>
            <w:r w:rsidRPr="005740E6">
              <w:rPr>
                <w:rFonts w:hAnsi="宋体" w:hint="eastAsia"/>
                <w:szCs w:val="21"/>
              </w:rPr>
              <w:t>染色体超过二倍体的整倍性改变，如三倍体和四倍体</w:t>
            </w:r>
          </w:p>
        </w:tc>
        <w:tc>
          <w:tcPr>
            <w:tcW w:w="855" w:type="pct"/>
            <w:vAlign w:val="center"/>
          </w:tcPr>
          <w:p w14:paraId="14DE840C"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断裂</w:t>
            </w:r>
          </w:p>
        </w:tc>
        <w:tc>
          <w:tcPr>
            <w:tcW w:w="2012" w:type="pct"/>
            <w:vAlign w:val="center"/>
          </w:tcPr>
          <w:p w14:paraId="377C7B67"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染色体或染色单体上存在的狭窄非染色区域，其宽度大于染色单体的宽度</w:t>
            </w:r>
          </w:p>
        </w:tc>
      </w:tr>
      <w:tr w:rsidR="00236FB4" w:rsidRPr="003E6C29" w14:paraId="7A7607BE" w14:textId="77777777" w:rsidTr="001204DD">
        <w:trPr>
          <w:trHeight w:val="285"/>
          <w:jc w:val="center"/>
        </w:trPr>
        <w:tc>
          <w:tcPr>
            <w:tcW w:w="766" w:type="pct"/>
            <w:vAlign w:val="center"/>
          </w:tcPr>
          <w:p w14:paraId="648244DA"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非整倍体</w:t>
            </w:r>
          </w:p>
        </w:tc>
        <w:tc>
          <w:tcPr>
            <w:tcW w:w="1367" w:type="pct"/>
            <w:vAlign w:val="center"/>
          </w:tcPr>
          <w:p w14:paraId="74985342" w14:textId="77777777" w:rsidR="00236FB4" w:rsidRPr="005740E6" w:rsidRDefault="00236FB4" w:rsidP="001204DD">
            <w:pPr>
              <w:adjustRightInd w:val="0"/>
              <w:snapToGrid w:val="0"/>
              <w:spacing w:line="360" w:lineRule="auto"/>
              <w:rPr>
                <w:szCs w:val="21"/>
              </w:rPr>
            </w:pPr>
            <w:r w:rsidRPr="005740E6">
              <w:rPr>
                <w:rFonts w:hAnsi="宋体" w:hint="eastAsia"/>
                <w:szCs w:val="21"/>
              </w:rPr>
              <w:t>染色体非整倍性改变，丢失或增加一条或多条染色体</w:t>
            </w:r>
          </w:p>
        </w:tc>
        <w:tc>
          <w:tcPr>
            <w:tcW w:w="855" w:type="pct"/>
            <w:vAlign w:val="center"/>
          </w:tcPr>
          <w:p w14:paraId="12BEF2AE"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裂隙</w:t>
            </w:r>
          </w:p>
        </w:tc>
        <w:tc>
          <w:tcPr>
            <w:tcW w:w="2012" w:type="pct"/>
            <w:vAlign w:val="center"/>
          </w:tcPr>
          <w:p w14:paraId="4270BFAC"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染色体或染色单体上存在的狭窄非染色区域，其宽度小于染色单体的宽度</w:t>
            </w:r>
          </w:p>
        </w:tc>
      </w:tr>
      <w:tr w:rsidR="00236FB4" w:rsidRPr="003E6C29" w14:paraId="6F55B886" w14:textId="77777777" w:rsidTr="001204DD">
        <w:trPr>
          <w:trHeight w:val="275"/>
          <w:jc w:val="center"/>
        </w:trPr>
        <w:tc>
          <w:tcPr>
            <w:tcW w:w="766" w:type="pct"/>
            <w:vAlign w:val="center"/>
          </w:tcPr>
          <w:p w14:paraId="1D13F132"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内复制</w:t>
            </w:r>
          </w:p>
        </w:tc>
        <w:tc>
          <w:tcPr>
            <w:tcW w:w="1367" w:type="pct"/>
            <w:vAlign w:val="center"/>
          </w:tcPr>
          <w:p w14:paraId="2118D7AB" w14:textId="77777777" w:rsidR="00236FB4" w:rsidRPr="005740E6" w:rsidRDefault="00236FB4" w:rsidP="001204DD">
            <w:pPr>
              <w:adjustRightInd w:val="0"/>
              <w:snapToGrid w:val="0"/>
              <w:spacing w:line="360" w:lineRule="auto"/>
              <w:rPr>
                <w:szCs w:val="21"/>
              </w:rPr>
            </w:pPr>
            <w:r w:rsidRPr="005740E6">
              <w:rPr>
                <w:rFonts w:hAnsi="宋体" w:hint="eastAsia"/>
                <w:szCs w:val="21"/>
              </w:rPr>
              <w:t>包膜内特殊形式的多倍化现象</w:t>
            </w:r>
          </w:p>
        </w:tc>
        <w:tc>
          <w:tcPr>
            <w:tcW w:w="855" w:type="pct"/>
            <w:vAlign w:val="center"/>
          </w:tcPr>
          <w:p w14:paraId="5116800E"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微小体</w:t>
            </w:r>
          </w:p>
        </w:tc>
        <w:tc>
          <w:tcPr>
            <w:tcW w:w="2012" w:type="pct"/>
            <w:vAlign w:val="center"/>
          </w:tcPr>
          <w:p w14:paraId="673B771E"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由染色体臂内断裂形成的微小断片，成圆点状</w:t>
            </w:r>
          </w:p>
        </w:tc>
      </w:tr>
      <w:tr w:rsidR="00236FB4" w:rsidRPr="003E6C29" w14:paraId="0EF92A3F" w14:textId="77777777" w:rsidTr="001204DD">
        <w:trPr>
          <w:trHeight w:val="223"/>
          <w:jc w:val="center"/>
        </w:trPr>
        <w:tc>
          <w:tcPr>
            <w:tcW w:w="766" w:type="pct"/>
            <w:vAlign w:val="center"/>
          </w:tcPr>
          <w:p w14:paraId="4694EBD5" w14:textId="77777777" w:rsidR="00236FB4" w:rsidRPr="005740E6" w:rsidRDefault="00236FB4" w:rsidP="001204DD">
            <w:pPr>
              <w:pStyle w:val="1"/>
              <w:snapToGrid w:val="0"/>
              <w:spacing w:line="360" w:lineRule="auto"/>
              <w:jc w:val="left"/>
              <w:rPr>
                <w:rFonts w:ascii="Times New Roman" w:hAnsi="Times New Roman"/>
                <w:szCs w:val="21"/>
              </w:rPr>
            </w:pPr>
          </w:p>
        </w:tc>
        <w:tc>
          <w:tcPr>
            <w:tcW w:w="1367" w:type="pct"/>
            <w:vAlign w:val="center"/>
          </w:tcPr>
          <w:p w14:paraId="5A282DA8" w14:textId="77777777" w:rsidR="00236FB4" w:rsidRPr="005740E6" w:rsidRDefault="00236FB4" w:rsidP="001204DD">
            <w:pPr>
              <w:adjustRightInd w:val="0"/>
              <w:snapToGrid w:val="0"/>
              <w:spacing w:line="360" w:lineRule="auto"/>
              <w:rPr>
                <w:szCs w:val="21"/>
              </w:rPr>
            </w:pPr>
          </w:p>
        </w:tc>
        <w:tc>
          <w:tcPr>
            <w:tcW w:w="855" w:type="pct"/>
            <w:vAlign w:val="center"/>
          </w:tcPr>
          <w:p w14:paraId="526C79B8"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着丝粒环</w:t>
            </w:r>
          </w:p>
        </w:tc>
        <w:tc>
          <w:tcPr>
            <w:tcW w:w="2012" w:type="pct"/>
            <w:vAlign w:val="center"/>
          </w:tcPr>
          <w:p w14:paraId="26867311"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染色体臂断裂后，由带着丝粒节段两端连接而成的环，常伴有一对无着丝粒断片</w:t>
            </w:r>
          </w:p>
        </w:tc>
      </w:tr>
      <w:tr w:rsidR="00236FB4" w:rsidRPr="003E6C29" w14:paraId="5D09E62B" w14:textId="77777777" w:rsidTr="001204DD">
        <w:trPr>
          <w:trHeight w:val="293"/>
          <w:jc w:val="center"/>
        </w:trPr>
        <w:tc>
          <w:tcPr>
            <w:tcW w:w="766" w:type="pct"/>
            <w:vAlign w:val="center"/>
          </w:tcPr>
          <w:p w14:paraId="07D668EA" w14:textId="77777777" w:rsidR="00236FB4" w:rsidRPr="005740E6" w:rsidRDefault="00236FB4" w:rsidP="001204DD">
            <w:pPr>
              <w:pStyle w:val="1"/>
              <w:snapToGrid w:val="0"/>
              <w:spacing w:line="360" w:lineRule="auto"/>
              <w:jc w:val="left"/>
              <w:rPr>
                <w:rFonts w:ascii="Times New Roman" w:hAnsi="Times New Roman"/>
                <w:szCs w:val="21"/>
              </w:rPr>
            </w:pPr>
          </w:p>
        </w:tc>
        <w:tc>
          <w:tcPr>
            <w:tcW w:w="1367" w:type="pct"/>
            <w:vAlign w:val="center"/>
          </w:tcPr>
          <w:p w14:paraId="47838B0F" w14:textId="77777777" w:rsidR="00236FB4" w:rsidRPr="005740E6" w:rsidRDefault="00236FB4" w:rsidP="001204DD">
            <w:pPr>
              <w:pStyle w:val="1"/>
              <w:snapToGrid w:val="0"/>
              <w:spacing w:line="360" w:lineRule="auto"/>
              <w:jc w:val="left"/>
              <w:rPr>
                <w:rFonts w:ascii="Times New Roman" w:hAnsi="Times New Roman"/>
                <w:szCs w:val="21"/>
              </w:rPr>
            </w:pPr>
          </w:p>
        </w:tc>
        <w:tc>
          <w:tcPr>
            <w:tcW w:w="855" w:type="pct"/>
            <w:vAlign w:val="center"/>
          </w:tcPr>
          <w:p w14:paraId="1C7AA52E"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无着丝粒环</w:t>
            </w:r>
          </w:p>
        </w:tc>
        <w:tc>
          <w:tcPr>
            <w:tcW w:w="2012" w:type="pct"/>
            <w:vAlign w:val="center"/>
          </w:tcPr>
          <w:p w14:paraId="281F8A50"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染色体臂断裂后，由无着丝粒节段的断片连接而成的环</w:t>
            </w:r>
          </w:p>
        </w:tc>
      </w:tr>
      <w:tr w:rsidR="00236FB4" w:rsidRPr="003E6C29" w14:paraId="7285B03F" w14:textId="77777777" w:rsidTr="001204DD">
        <w:trPr>
          <w:trHeight w:val="285"/>
          <w:jc w:val="center"/>
        </w:trPr>
        <w:tc>
          <w:tcPr>
            <w:tcW w:w="766" w:type="pct"/>
            <w:vAlign w:val="center"/>
          </w:tcPr>
          <w:p w14:paraId="5FCFE7EB" w14:textId="77777777" w:rsidR="00236FB4" w:rsidRPr="005740E6" w:rsidRDefault="00236FB4" w:rsidP="001204DD">
            <w:pPr>
              <w:pStyle w:val="1"/>
              <w:snapToGrid w:val="0"/>
              <w:spacing w:line="360" w:lineRule="auto"/>
              <w:jc w:val="left"/>
              <w:rPr>
                <w:rFonts w:ascii="Times New Roman" w:hAnsi="Times New Roman"/>
                <w:szCs w:val="21"/>
              </w:rPr>
            </w:pPr>
          </w:p>
        </w:tc>
        <w:tc>
          <w:tcPr>
            <w:tcW w:w="1367" w:type="pct"/>
            <w:vAlign w:val="center"/>
          </w:tcPr>
          <w:p w14:paraId="46011C94" w14:textId="77777777" w:rsidR="00236FB4" w:rsidRPr="005740E6" w:rsidRDefault="00236FB4" w:rsidP="001204DD">
            <w:pPr>
              <w:pStyle w:val="1"/>
              <w:snapToGrid w:val="0"/>
              <w:spacing w:line="360" w:lineRule="auto"/>
              <w:jc w:val="left"/>
              <w:rPr>
                <w:rFonts w:ascii="Times New Roman" w:hAnsi="Times New Roman"/>
                <w:szCs w:val="21"/>
              </w:rPr>
            </w:pPr>
          </w:p>
        </w:tc>
        <w:tc>
          <w:tcPr>
            <w:tcW w:w="855" w:type="pct"/>
            <w:vAlign w:val="center"/>
          </w:tcPr>
          <w:p w14:paraId="33B23D6C"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单体互换</w:t>
            </w:r>
          </w:p>
        </w:tc>
        <w:tc>
          <w:tcPr>
            <w:tcW w:w="2012" w:type="pct"/>
            <w:vAlign w:val="center"/>
          </w:tcPr>
          <w:p w14:paraId="57EB220A"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可形成三</w:t>
            </w:r>
            <w:proofErr w:type="gramStart"/>
            <w:r w:rsidRPr="005740E6">
              <w:rPr>
                <w:rFonts w:ascii="Times New Roman" w:hAnsi="宋体" w:hint="eastAsia"/>
                <w:szCs w:val="21"/>
              </w:rPr>
              <w:t>辐</w:t>
            </w:r>
            <w:proofErr w:type="gramEnd"/>
            <w:r w:rsidRPr="005740E6">
              <w:rPr>
                <w:rFonts w:ascii="Times New Roman" w:hAnsi="宋体" w:hint="eastAsia"/>
                <w:szCs w:val="21"/>
              </w:rPr>
              <w:t>体（三条臂构型）、四</w:t>
            </w:r>
            <w:proofErr w:type="gramStart"/>
            <w:r w:rsidRPr="005740E6">
              <w:rPr>
                <w:rFonts w:ascii="Times New Roman" w:hAnsi="宋体" w:hint="eastAsia"/>
                <w:szCs w:val="21"/>
              </w:rPr>
              <w:t>辐</w:t>
            </w:r>
            <w:proofErr w:type="gramEnd"/>
            <w:r w:rsidRPr="005740E6">
              <w:rPr>
                <w:rFonts w:ascii="Times New Roman" w:hAnsi="宋体" w:hint="eastAsia"/>
                <w:szCs w:val="21"/>
              </w:rPr>
              <w:t>体（四条臂构型）或其它形状的构型</w:t>
            </w:r>
          </w:p>
        </w:tc>
      </w:tr>
      <w:tr w:rsidR="00236FB4" w:rsidRPr="003E6C29" w14:paraId="224D0B41" w14:textId="77777777" w:rsidTr="001204DD">
        <w:trPr>
          <w:trHeight w:val="263"/>
          <w:jc w:val="center"/>
        </w:trPr>
        <w:tc>
          <w:tcPr>
            <w:tcW w:w="766" w:type="pct"/>
            <w:vAlign w:val="center"/>
          </w:tcPr>
          <w:p w14:paraId="0DC76031" w14:textId="77777777" w:rsidR="00236FB4" w:rsidRPr="005740E6" w:rsidRDefault="00236FB4" w:rsidP="001204DD">
            <w:pPr>
              <w:pStyle w:val="1"/>
              <w:snapToGrid w:val="0"/>
              <w:spacing w:line="360" w:lineRule="auto"/>
              <w:jc w:val="left"/>
              <w:rPr>
                <w:rFonts w:ascii="Times New Roman" w:hAnsi="Times New Roman"/>
                <w:szCs w:val="21"/>
              </w:rPr>
            </w:pPr>
          </w:p>
        </w:tc>
        <w:tc>
          <w:tcPr>
            <w:tcW w:w="1367" w:type="pct"/>
            <w:vAlign w:val="center"/>
          </w:tcPr>
          <w:p w14:paraId="34C202A8" w14:textId="77777777" w:rsidR="00236FB4" w:rsidRPr="005740E6" w:rsidRDefault="00236FB4" w:rsidP="001204DD">
            <w:pPr>
              <w:pStyle w:val="1"/>
              <w:snapToGrid w:val="0"/>
              <w:spacing w:line="360" w:lineRule="auto"/>
              <w:jc w:val="left"/>
              <w:rPr>
                <w:rFonts w:ascii="Times New Roman" w:hAnsi="Times New Roman"/>
                <w:szCs w:val="21"/>
              </w:rPr>
            </w:pPr>
          </w:p>
        </w:tc>
        <w:tc>
          <w:tcPr>
            <w:tcW w:w="855" w:type="pct"/>
            <w:vAlign w:val="center"/>
          </w:tcPr>
          <w:p w14:paraId="11ECAC1E"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双微小体</w:t>
            </w:r>
          </w:p>
        </w:tc>
        <w:tc>
          <w:tcPr>
            <w:tcW w:w="2012" w:type="pct"/>
            <w:vAlign w:val="center"/>
          </w:tcPr>
          <w:p w14:paraId="3F93C082"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成对的染色质小体</w:t>
            </w:r>
          </w:p>
        </w:tc>
      </w:tr>
      <w:tr w:rsidR="00236FB4" w:rsidRPr="003E6C29" w14:paraId="52228136" w14:textId="77777777" w:rsidTr="001204DD">
        <w:trPr>
          <w:trHeight w:val="309"/>
          <w:jc w:val="center"/>
        </w:trPr>
        <w:tc>
          <w:tcPr>
            <w:tcW w:w="766" w:type="pct"/>
            <w:vAlign w:val="center"/>
          </w:tcPr>
          <w:p w14:paraId="00B56FCB" w14:textId="77777777" w:rsidR="00236FB4" w:rsidRPr="005740E6" w:rsidRDefault="00236FB4" w:rsidP="001204DD">
            <w:pPr>
              <w:pStyle w:val="1"/>
              <w:snapToGrid w:val="0"/>
              <w:spacing w:line="360" w:lineRule="auto"/>
              <w:jc w:val="left"/>
              <w:rPr>
                <w:rFonts w:ascii="Times New Roman" w:hAnsi="Times New Roman"/>
                <w:szCs w:val="21"/>
              </w:rPr>
            </w:pPr>
          </w:p>
        </w:tc>
        <w:tc>
          <w:tcPr>
            <w:tcW w:w="1367" w:type="pct"/>
            <w:vAlign w:val="center"/>
          </w:tcPr>
          <w:p w14:paraId="4B8E748B" w14:textId="77777777" w:rsidR="00236FB4" w:rsidRPr="005740E6" w:rsidRDefault="00236FB4" w:rsidP="001204DD">
            <w:pPr>
              <w:pStyle w:val="1"/>
              <w:snapToGrid w:val="0"/>
              <w:spacing w:line="360" w:lineRule="auto"/>
              <w:jc w:val="left"/>
              <w:rPr>
                <w:rFonts w:ascii="Times New Roman" w:hAnsi="Times New Roman"/>
                <w:szCs w:val="21"/>
              </w:rPr>
            </w:pPr>
          </w:p>
        </w:tc>
        <w:tc>
          <w:tcPr>
            <w:tcW w:w="855" w:type="pct"/>
            <w:vAlign w:val="center"/>
          </w:tcPr>
          <w:p w14:paraId="3319E25F"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非特定性型变化</w:t>
            </w:r>
          </w:p>
        </w:tc>
        <w:tc>
          <w:tcPr>
            <w:tcW w:w="2012" w:type="pct"/>
            <w:vAlign w:val="center"/>
          </w:tcPr>
          <w:p w14:paraId="030E2EB5" w14:textId="77777777" w:rsidR="00236FB4" w:rsidRPr="005740E6" w:rsidRDefault="00236FB4" w:rsidP="001204DD">
            <w:pPr>
              <w:pStyle w:val="1"/>
              <w:snapToGrid w:val="0"/>
              <w:spacing w:line="360" w:lineRule="auto"/>
              <w:jc w:val="left"/>
              <w:rPr>
                <w:rFonts w:ascii="Times New Roman" w:hAnsi="Times New Roman"/>
                <w:szCs w:val="21"/>
              </w:rPr>
            </w:pPr>
            <w:r w:rsidRPr="005740E6">
              <w:rPr>
                <w:rFonts w:ascii="Times New Roman" w:hAnsi="宋体" w:hint="eastAsia"/>
                <w:szCs w:val="21"/>
              </w:rPr>
              <w:t>如粉碎化</w:t>
            </w:r>
            <w:proofErr w:type="gramStart"/>
            <w:r w:rsidRPr="005740E6">
              <w:rPr>
                <w:rFonts w:ascii="Times New Roman" w:hAnsi="宋体" w:hint="eastAsia"/>
                <w:szCs w:val="21"/>
              </w:rPr>
              <w:t>、着</w:t>
            </w:r>
            <w:proofErr w:type="gramEnd"/>
            <w:r w:rsidRPr="005740E6">
              <w:rPr>
                <w:rFonts w:ascii="Times New Roman" w:hAnsi="宋体" w:hint="eastAsia"/>
                <w:szCs w:val="21"/>
              </w:rPr>
              <w:t>丝点细长化、粘着等</w:t>
            </w:r>
          </w:p>
        </w:tc>
      </w:tr>
    </w:tbl>
    <w:p w14:paraId="10C3DBF3" w14:textId="77777777" w:rsidR="00236FB4" w:rsidRPr="005740E6" w:rsidRDefault="00236FB4" w:rsidP="00236FB4">
      <w:pPr>
        <w:adjustRightInd w:val="0"/>
        <w:snapToGrid w:val="0"/>
        <w:spacing w:line="360" w:lineRule="auto"/>
        <w:ind w:firstLineChars="200" w:firstLine="480"/>
        <w:jc w:val="both"/>
        <w:rPr>
          <w:rFonts w:ascii="黑体" w:eastAsia="黑体" w:hAnsi="黑体" w:hint="eastAsia"/>
          <w:noProof/>
          <w:sz w:val="24"/>
        </w:rPr>
      </w:pPr>
      <w:r w:rsidRPr="005740E6">
        <w:rPr>
          <w:rFonts w:ascii="黑体" w:eastAsia="黑体" w:hAnsi="黑体" w:hint="eastAsia"/>
          <w:noProof/>
          <w:sz w:val="24"/>
        </w:rPr>
        <w:t>（四）历史对照数据库的建立</w:t>
      </w:r>
    </w:p>
    <w:p w14:paraId="44D9AFE6"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实验室应建立历史对照数据库，包括结果范围和分布，并应采用质量控制方法，如控制图表（如</w:t>
      </w:r>
      <w:r w:rsidRPr="00BE1C44">
        <w:rPr>
          <w:sz w:val="24"/>
        </w:rPr>
        <w:t>C-</w:t>
      </w:r>
      <w:r w:rsidRPr="00BE1C44">
        <w:rPr>
          <w:rFonts w:hint="eastAsia"/>
          <w:sz w:val="24"/>
        </w:rPr>
        <w:t>图或</w:t>
      </w:r>
      <w:r w:rsidRPr="00BE1C44">
        <w:rPr>
          <w:sz w:val="24"/>
        </w:rPr>
        <w:t>X-bar</w:t>
      </w:r>
      <w:r w:rsidRPr="00BE1C44">
        <w:rPr>
          <w:rFonts w:hint="eastAsia"/>
          <w:sz w:val="24"/>
        </w:rPr>
        <w:t>图），以确定对照数据可控。对试验方案的任何修改都应考虑到其与实验室现有历史对照数据的一致性。任何重大的不一致都将导致需要建立新的历史对照数据库。</w:t>
      </w:r>
    </w:p>
    <w:p w14:paraId="6E3DF45A" w14:textId="77777777" w:rsidR="00236FB4" w:rsidRPr="00BE1C44" w:rsidRDefault="00236FB4" w:rsidP="00236FB4">
      <w:pPr>
        <w:adjustRightInd w:val="0"/>
        <w:snapToGrid w:val="0"/>
        <w:spacing w:line="360" w:lineRule="auto"/>
        <w:ind w:firstLineChars="200" w:firstLine="480"/>
        <w:jc w:val="both"/>
      </w:pPr>
      <w:r w:rsidRPr="00BE1C44">
        <w:rPr>
          <w:rFonts w:hint="eastAsia"/>
          <w:sz w:val="24"/>
        </w:rPr>
        <w:t>当首次获取历史阴性对照分布的数据时，</w:t>
      </w:r>
      <w:proofErr w:type="gramStart"/>
      <w:r w:rsidRPr="00BE1C44">
        <w:rPr>
          <w:rFonts w:hint="eastAsia"/>
          <w:sz w:val="24"/>
        </w:rPr>
        <w:t>阴性对</w:t>
      </w:r>
      <w:proofErr w:type="gramEnd"/>
      <w:r w:rsidRPr="00BE1C44">
        <w:rPr>
          <w:rFonts w:hint="eastAsia"/>
          <w:sz w:val="24"/>
        </w:rPr>
        <w:t>照应与已公开发布的对照数据（若有）一致。随着越来越多的</w:t>
      </w:r>
      <w:r>
        <w:rPr>
          <w:rFonts w:hint="eastAsia"/>
          <w:sz w:val="24"/>
        </w:rPr>
        <w:t>试验</w:t>
      </w:r>
      <w:r w:rsidRPr="00BE1C44">
        <w:rPr>
          <w:rFonts w:hint="eastAsia"/>
          <w:sz w:val="24"/>
        </w:rPr>
        <w:t>数据被添加到对照分布中，阴性对照理想情况下应在分布的</w:t>
      </w:r>
      <w:r w:rsidRPr="00BE1C44">
        <w:rPr>
          <w:sz w:val="24"/>
        </w:rPr>
        <w:t>95%</w:t>
      </w:r>
      <w:r w:rsidRPr="00BE1C44">
        <w:rPr>
          <w:rFonts w:hint="eastAsia"/>
          <w:sz w:val="24"/>
        </w:rPr>
        <w:t>置信区间内，但对于在</w:t>
      </w:r>
      <w:r w:rsidRPr="00BE1C44">
        <w:rPr>
          <w:sz w:val="24"/>
        </w:rPr>
        <w:t>95%</w:t>
      </w:r>
      <w:r w:rsidRPr="00BE1C44">
        <w:rPr>
          <w:rFonts w:hint="eastAsia"/>
          <w:sz w:val="24"/>
        </w:rPr>
        <w:t>置信区间范围之外的阴性对照数据，如果不是极端的异常值，并且有证据表明试验系统可控，没有技术或人为差错，可将其纳入历史对照库中。</w:t>
      </w:r>
    </w:p>
    <w:p w14:paraId="59D40CD1" w14:textId="0C49BFBA" w:rsidR="00236FB4" w:rsidRDefault="00C16659" w:rsidP="00236FB4">
      <w:pPr>
        <w:adjustRightInd w:val="0"/>
        <w:snapToGrid w:val="0"/>
        <w:spacing w:line="360" w:lineRule="auto"/>
        <w:ind w:firstLineChars="200" w:firstLine="560"/>
        <w:jc w:val="both"/>
        <w:rPr>
          <w:rFonts w:ascii="黑体" w:eastAsia="黑体" w:hAnsi="黑体" w:hint="eastAsia"/>
          <w:noProof/>
          <w:sz w:val="28"/>
          <w:szCs w:val="28"/>
        </w:rPr>
      </w:pPr>
      <w:bookmarkStart w:id="16" w:name="_Hlk177834548"/>
      <w:r>
        <w:rPr>
          <w:rFonts w:ascii="黑体" w:eastAsia="黑体" w:hAnsi="黑体" w:hint="eastAsia"/>
          <w:noProof/>
          <w:sz w:val="28"/>
          <w:szCs w:val="28"/>
        </w:rPr>
        <w:t>六</w:t>
      </w:r>
      <w:r w:rsidR="00510DB1">
        <w:rPr>
          <w:rFonts w:ascii="黑体" w:eastAsia="黑体" w:hAnsi="黑体"/>
          <w:noProof/>
          <w:sz w:val="28"/>
          <w:szCs w:val="28"/>
        </w:rPr>
        <w:t>、</w:t>
      </w:r>
      <w:r w:rsidR="00236FB4">
        <w:rPr>
          <w:rFonts w:ascii="黑体" w:eastAsia="黑体" w:hAnsi="黑体" w:hint="eastAsia"/>
          <w:noProof/>
          <w:sz w:val="28"/>
          <w:szCs w:val="28"/>
        </w:rPr>
        <w:t>术语</w:t>
      </w:r>
    </w:p>
    <w:p w14:paraId="36FC8BF6" w14:textId="77777777" w:rsidR="00236FB4" w:rsidRPr="0001104D" w:rsidRDefault="00236FB4" w:rsidP="00236FB4">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染色体型畸变（</w:t>
      </w:r>
      <w:r w:rsidRPr="008D47BA">
        <w:rPr>
          <w:color w:val="000000"/>
          <w:spacing w:val="-3"/>
          <w:kern w:val="0"/>
          <w:sz w:val="24"/>
          <w:lang w:val="x-none"/>
        </w:rPr>
        <w:t>Chromosome-type aberration</w:t>
      </w:r>
      <w:r w:rsidRPr="008D47BA">
        <w:rPr>
          <w:rFonts w:hint="eastAsia"/>
          <w:color w:val="000000"/>
          <w:spacing w:val="-3"/>
          <w:kern w:val="0"/>
          <w:sz w:val="24"/>
          <w:lang w:val="x-none"/>
        </w:rPr>
        <w:t>）：染色体结构损伤，表现为在两个染色单体的相同位点均出现断裂或断裂重组的改变。</w:t>
      </w:r>
    </w:p>
    <w:p w14:paraId="119234A3" w14:textId="77777777" w:rsidR="00236FB4" w:rsidRPr="0001104D" w:rsidRDefault="00236FB4" w:rsidP="00236FB4">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染色单体型畸变（</w:t>
      </w:r>
      <w:r w:rsidRPr="008D47BA">
        <w:rPr>
          <w:color w:val="000000"/>
          <w:spacing w:val="-3"/>
          <w:kern w:val="0"/>
          <w:sz w:val="24"/>
          <w:lang w:val="x-none"/>
        </w:rPr>
        <w:t>Chromatid-type aberration</w:t>
      </w:r>
      <w:r w:rsidRPr="008D47BA">
        <w:rPr>
          <w:rFonts w:hint="eastAsia"/>
          <w:color w:val="000000"/>
          <w:spacing w:val="-3"/>
          <w:kern w:val="0"/>
          <w:sz w:val="24"/>
          <w:lang w:val="x-none"/>
        </w:rPr>
        <w:t>）：染色体结构损伤，表现为染色单体断裂或染色单体断裂重组的损伤。</w:t>
      </w:r>
    </w:p>
    <w:p w14:paraId="30FA03A5" w14:textId="77777777" w:rsidR="00236FB4" w:rsidRPr="0001104D" w:rsidRDefault="00236FB4" w:rsidP="00236FB4">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染色体数目畸变（</w:t>
      </w:r>
      <w:r w:rsidRPr="008D47BA">
        <w:rPr>
          <w:color w:val="000000"/>
          <w:spacing w:val="-3"/>
          <w:kern w:val="0"/>
          <w:sz w:val="24"/>
          <w:lang w:val="x-none"/>
        </w:rPr>
        <w:t>Numerical-type aberration</w:t>
      </w:r>
      <w:r w:rsidRPr="008D47BA">
        <w:rPr>
          <w:rFonts w:hint="eastAsia"/>
          <w:color w:val="000000"/>
          <w:spacing w:val="-3"/>
          <w:kern w:val="0"/>
          <w:sz w:val="24"/>
          <w:lang w:val="x-none"/>
        </w:rPr>
        <w:t>）：哺乳动物细胞染色体数目的改变。</w:t>
      </w:r>
    </w:p>
    <w:p w14:paraId="026A8DCA" w14:textId="77777777" w:rsidR="00236FB4" w:rsidRDefault="00236FB4" w:rsidP="00236FB4">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着丝粒（</w:t>
      </w:r>
      <w:r w:rsidRPr="0001104D">
        <w:rPr>
          <w:color w:val="000000"/>
          <w:spacing w:val="-3"/>
          <w:kern w:val="0"/>
          <w:sz w:val="24"/>
          <w:lang w:val="x-none"/>
        </w:rPr>
        <w:t>Centromere/kinetochore</w:t>
      </w:r>
      <w:r w:rsidRPr="008D47BA">
        <w:rPr>
          <w:rFonts w:hint="eastAsia"/>
          <w:color w:val="000000"/>
          <w:spacing w:val="-3"/>
          <w:kern w:val="0"/>
          <w:sz w:val="24"/>
          <w:lang w:val="x-none"/>
        </w:rPr>
        <w:t>）：在细胞分裂期染色体与纺锤体纤维连接的区域，以使子染色体有序移动到子细胞两极。</w:t>
      </w:r>
    </w:p>
    <w:p w14:paraId="4CCE1E60" w14:textId="77777777" w:rsidR="00236FB4" w:rsidRPr="005740E6" w:rsidRDefault="00236FB4" w:rsidP="00236FB4">
      <w:pPr>
        <w:adjustRightInd w:val="0"/>
        <w:snapToGrid w:val="0"/>
        <w:spacing w:line="360" w:lineRule="auto"/>
        <w:ind w:firstLineChars="200" w:firstLine="468"/>
        <w:jc w:val="both"/>
        <w:rPr>
          <w:color w:val="000000"/>
          <w:spacing w:val="-3"/>
          <w:kern w:val="0"/>
          <w:sz w:val="24"/>
          <w:lang w:val="x-none"/>
        </w:rPr>
      </w:pPr>
      <w:r w:rsidRPr="0011464D">
        <w:rPr>
          <w:color w:val="000000"/>
          <w:spacing w:val="-3"/>
          <w:kern w:val="0"/>
          <w:sz w:val="24"/>
          <w:lang w:val="x-none"/>
        </w:rPr>
        <w:lastRenderedPageBreak/>
        <w:t>S9</w:t>
      </w:r>
      <w:r w:rsidRPr="0011464D">
        <w:rPr>
          <w:rFonts w:hint="eastAsia"/>
          <w:color w:val="000000"/>
          <w:spacing w:val="-3"/>
          <w:kern w:val="0"/>
          <w:sz w:val="24"/>
          <w:lang w:val="x-none"/>
        </w:rPr>
        <w:t>：采用经</w:t>
      </w:r>
      <w:r w:rsidRPr="0011464D">
        <w:rPr>
          <w:sz w:val="24"/>
        </w:rPr>
        <w:t>酶诱导剂（如</w:t>
      </w:r>
      <w:proofErr w:type="spellStart"/>
      <w:r w:rsidRPr="0011464D">
        <w:rPr>
          <w:sz w:val="24"/>
        </w:rPr>
        <w:t>Aroclor</w:t>
      </w:r>
      <w:proofErr w:type="spellEnd"/>
      <w:r w:rsidRPr="0011464D">
        <w:rPr>
          <w:sz w:val="24"/>
        </w:rPr>
        <w:t xml:space="preserve"> 1254</w:t>
      </w:r>
      <w:r w:rsidRPr="0011464D">
        <w:rPr>
          <w:sz w:val="24"/>
        </w:rPr>
        <w:t>或苯巴比妥和</w:t>
      </w:r>
      <w:r w:rsidRPr="0011464D">
        <w:rPr>
          <w:sz w:val="24"/>
        </w:rPr>
        <w:t>β-</w:t>
      </w:r>
      <w:proofErr w:type="gramStart"/>
      <w:r w:rsidRPr="0011464D">
        <w:rPr>
          <w:sz w:val="24"/>
        </w:rPr>
        <w:t>萘</w:t>
      </w:r>
      <w:proofErr w:type="gramEnd"/>
      <w:r w:rsidRPr="0011464D">
        <w:rPr>
          <w:sz w:val="24"/>
        </w:rPr>
        <w:t>黄酮联合）</w:t>
      </w:r>
      <w:r w:rsidRPr="0011464D">
        <w:rPr>
          <w:rFonts w:hint="eastAsia"/>
          <w:color w:val="000000"/>
          <w:spacing w:val="-3"/>
          <w:kern w:val="0"/>
          <w:sz w:val="24"/>
          <w:lang w:val="x-none"/>
        </w:rPr>
        <w:t>诱导的大鼠制备肝匀浆，在</w:t>
      </w:r>
      <w:r w:rsidRPr="0011464D">
        <w:rPr>
          <w:color w:val="000000"/>
          <w:spacing w:val="-3"/>
          <w:kern w:val="0"/>
          <w:sz w:val="24"/>
          <w:lang w:val="x-none"/>
        </w:rPr>
        <w:t>9000g</w:t>
      </w:r>
      <w:r w:rsidRPr="0011464D">
        <w:rPr>
          <w:rFonts w:hint="eastAsia"/>
          <w:color w:val="000000"/>
          <w:spacing w:val="-3"/>
          <w:kern w:val="0"/>
          <w:sz w:val="24"/>
          <w:lang w:val="x-none"/>
        </w:rPr>
        <w:t>下离心</w:t>
      </w:r>
      <w:r w:rsidRPr="0011464D">
        <w:rPr>
          <w:color w:val="000000"/>
          <w:spacing w:val="-3"/>
          <w:kern w:val="0"/>
          <w:sz w:val="24"/>
          <w:lang w:val="x-none"/>
        </w:rPr>
        <w:t>10min</w:t>
      </w:r>
      <w:r w:rsidRPr="0011464D">
        <w:rPr>
          <w:rFonts w:hint="eastAsia"/>
          <w:color w:val="000000"/>
          <w:spacing w:val="-3"/>
          <w:kern w:val="0"/>
          <w:sz w:val="24"/>
          <w:lang w:val="x-none"/>
        </w:rPr>
        <w:t>后的肝匀浆上清液。</w:t>
      </w:r>
    </w:p>
    <w:p w14:paraId="1A703839" w14:textId="044CFF6B" w:rsidR="00236FB4" w:rsidRPr="005740E6" w:rsidRDefault="00C16659" w:rsidP="00236FB4">
      <w:pPr>
        <w:adjustRightInd w:val="0"/>
        <w:snapToGrid w:val="0"/>
        <w:spacing w:line="360" w:lineRule="auto"/>
        <w:ind w:firstLineChars="200" w:firstLine="560"/>
        <w:jc w:val="both"/>
        <w:rPr>
          <w:rFonts w:ascii="黑体" w:eastAsia="黑体" w:hAnsi="黑体" w:hint="eastAsia"/>
          <w:noProof/>
          <w:sz w:val="28"/>
          <w:szCs w:val="28"/>
        </w:rPr>
      </w:pPr>
      <w:r>
        <w:rPr>
          <w:rFonts w:ascii="黑体" w:eastAsia="黑体" w:hAnsi="黑体" w:hint="eastAsia"/>
          <w:noProof/>
          <w:sz w:val="28"/>
          <w:szCs w:val="28"/>
        </w:rPr>
        <w:t>七</w:t>
      </w:r>
      <w:r w:rsidR="00510DB1">
        <w:rPr>
          <w:rFonts w:ascii="黑体" w:eastAsia="黑体" w:hAnsi="黑体"/>
          <w:noProof/>
          <w:sz w:val="28"/>
          <w:szCs w:val="28"/>
        </w:rPr>
        <w:t>、</w:t>
      </w:r>
      <w:r w:rsidR="00236FB4" w:rsidRPr="005740E6">
        <w:rPr>
          <w:rFonts w:ascii="黑体" w:eastAsia="黑体" w:hAnsi="黑体" w:hint="eastAsia"/>
          <w:noProof/>
          <w:sz w:val="28"/>
          <w:szCs w:val="28"/>
        </w:rPr>
        <w:t>参考文献</w:t>
      </w:r>
    </w:p>
    <w:p w14:paraId="5E29AA0A" w14:textId="77777777" w:rsidR="00236FB4" w:rsidRPr="006B5FA2" w:rsidRDefault="00236FB4" w:rsidP="00236FB4">
      <w:pPr>
        <w:adjustRightInd w:val="0"/>
        <w:snapToGrid w:val="0"/>
        <w:spacing w:line="360" w:lineRule="auto"/>
        <w:ind w:firstLineChars="200" w:firstLine="480"/>
        <w:jc w:val="both"/>
        <w:rPr>
          <w:kern w:val="0"/>
          <w:sz w:val="24"/>
        </w:rPr>
      </w:pPr>
      <w:r w:rsidRPr="006B5FA2">
        <w:rPr>
          <w:kern w:val="0"/>
          <w:sz w:val="24"/>
        </w:rPr>
        <w:t xml:space="preserve">1. </w:t>
      </w:r>
      <w:r>
        <w:rPr>
          <w:rFonts w:hint="eastAsia"/>
          <w:kern w:val="0"/>
          <w:sz w:val="24"/>
        </w:rPr>
        <w:t>国家药品监督管理局药品审评中心</w:t>
      </w:r>
      <w:r w:rsidRPr="006B5FA2">
        <w:rPr>
          <w:kern w:val="0"/>
          <w:sz w:val="24"/>
        </w:rPr>
        <w:t xml:space="preserve">. </w:t>
      </w:r>
      <w:r w:rsidRPr="006B5FA2">
        <w:rPr>
          <w:rFonts w:hint="eastAsia"/>
          <w:kern w:val="0"/>
          <w:sz w:val="24"/>
        </w:rPr>
        <w:t>药物遗传毒性研究技术指导原则</w:t>
      </w:r>
      <w:r w:rsidRPr="006B5FA2">
        <w:rPr>
          <w:kern w:val="0"/>
          <w:sz w:val="24"/>
        </w:rPr>
        <w:t>[S]. 2018.</w:t>
      </w:r>
    </w:p>
    <w:p w14:paraId="7F6D1879" w14:textId="77777777" w:rsidR="00236FB4" w:rsidRPr="00253CC3" w:rsidRDefault="00236FB4" w:rsidP="00236FB4">
      <w:pPr>
        <w:adjustRightInd w:val="0"/>
        <w:snapToGrid w:val="0"/>
        <w:spacing w:line="360" w:lineRule="auto"/>
        <w:ind w:firstLineChars="200" w:firstLine="480"/>
        <w:jc w:val="both"/>
        <w:rPr>
          <w:sz w:val="24"/>
        </w:rPr>
      </w:pPr>
      <w:r w:rsidRPr="006B5FA2">
        <w:rPr>
          <w:sz w:val="24"/>
        </w:rPr>
        <w:t>2. OECD. Guideline for the testing of chemicals No.</w:t>
      </w:r>
      <w:r w:rsidRPr="006B5FA2">
        <w:t xml:space="preserve"> </w:t>
      </w:r>
      <w:r w:rsidRPr="006B5FA2">
        <w:rPr>
          <w:sz w:val="24"/>
        </w:rPr>
        <w:t xml:space="preserve">473: </w:t>
      </w:r>
      <w:r w:rsidRPr="009A3A37">
        <w:rPr>
          <w:i/>
          <w:iCs/>
          <w:sz w:val="24"/>
        </w:rPr>
        <w:t>In vitro</w:t>
      </w:r>
      <w:r w:rsidRPr="006B5FA2">
        <w:rPr>
          <w:sz w:val="24"/>
        </w:rPr>
        <w:t xml:space="preserve"> mammalian chromosomal aberration test. 2016.</w:t>
      </w:r>
    </w:p>
    <w:p w14:paraId="1750C7CE" w14:textId="77777777" w:rsidR="00236FB4" w:rsidRPr="00253CC3" w:rsidRDefault="00236FB4" w:rsidP="00236FB4">
      <w:pPr>
        <w:adjustRightInd w:val="0"/>
        <w:snapToGrid w:val="0"/>
        <w:spacing w:line="360" w:lineRule="auto"/>
        <w:ind w:firstLineChars="200" w:firstLine="480"/>
        <w:jc w:val="both"/>
        <w:rPr>
          <w:sz w:val="24"/>
        </w:rPr>
      </w:pPr>
      <w:r w:rsidRPr="00253CC3">
        <w:rPr>
          <w:sz w:val="24"/>
        </w:rPr>
        <w:t xml:space="preserve">3. </w:t>
      </w:r>
      <w:r w:rsidRPr="00253CC3">
        <w:rPr>
          <w:rFonts w:hint="eastAsia"/>
          <w:sz w:val="24"/>
        </w:rPr>
        <w:t>国家药品监督管理局</w:t>
      </w:r>
      <w:r w:rsidRPr="00253CC3">
        <w:rPr>
          <w:sz w:val="24"/>
        </w:rPr>
        <w:t>.</w:t>
      </w:r>
      <w:r>
        <w:rPr>
          <w:rFonts w:hint="eastAsia"/>
          <w:sz w:val="24"/>
        </w:rPr>
        <w:t xml:space="preserve"> </w:t>
      </w:r>
      <w:r w:rsidRPr="00253CC3">
        <w:rPr>
          <w:rFonts w:hint="eastAsia"/>
          <w:sz w:val="24"/>
        </w:rPr>
        <w:t>化妆品安全技术规范</w:t>
      </w:r>
      <w:r w:rsidRPr="00253CC3">
        <w:rPr>
          <w:sz w:val="24"/>
        </w:rPr>
        <w:t>.2015.</w:t>
      </w:r>
    </w:p>
    <w:p w14:paraId="110DE867" w14:textId="18EF4BDE" w:rsidR="00236FB4" w:rsidRPr="00253CC3" w:rsidRDefault="00236FB4" w:rsidP="00236FB4">
      <w:pPr>
        <w:adjustRightInd w:val="0"/>
        <w:snapToGrid w:val="0"/>
        <w:spacing w:line="360" w:lineRule="auto"/>
        <w:ind w:firstLineChars="200" w:firstLine="480"/>
        <w:jc w:val="both"/>
        <w:rPr>
          <w:sz w:val="24"/>
        </w:rPr>
      </w:pPr>
      <w:r w:rsidRPr="00253CC3">
        <w:rPr>
          <w:sz w:val="24"/>
        </w:rPr>
        <w:t xml:space="preserve">4. </w:t>
      </w:r>
      <w:r w:rsidR="0062188D" w:rsidRPr="0062188D">
        <w:rPr>
          <w:rFonts w:hint="eastAsia"/>
          <w:sz w:val="24"/>
        </w:rPr>
        <w:t>中华人民共和国国家卫生健康委员会</w:t>
      </w:r>
      <w:r w:rsidRPr="00253CC3">
        <w:rPr>
          <w:sz w:val="24"/>
        </w:rPr>
        <w:t xml:space="preserve">. </w:t>
      </w:r>
      <w:r w:rsidRPr="00253CC3">
        <w:rPr>
          <w:rFonts w:hint="eastAsia"/>
          <w:sz w:val="24"/>
        </w:rPr>
        <w:t>食品安全国家标准</w:t>
      </w:r>
      <w:r w:rsidRPr="00253CC3">
        <w:rPr>
          <w:sz w:val="24"/>
        </w:rPr>
        <w:t xml:space="preserve"> </w:t>
      </w:r>
      <w:r w:rsidRPr="006052EF">
        <w:rPr>
          <w:rFonts w:hint="eastAsia"/>
          <w:sz w:val="24"/>
        </w:rPr>
        <w:t>体外哺乳</w:t>
      </w:r>
      <w:r>
        <w:rPr>
          <w:rFonts w:hint="eastAsia"/>
          <w:sz w:val="24"/>
        </w:rPr>
        <w:t>类</w:t>
      </w:r>
      <w:r w:rsidRPr="006052EF">
        <w:rPr>
          <w:rFonts w:hint="eastAsia"/>
          <w:sz w:val="24"/>
        </w:rPr>
        <w:t>细胞染色体畸变试验</w:t>
      </w:r>
      <w:r w:rsidRPr="00253CC3">
        <w:rPr>
          <w:sz w:val="24"/>
        </w:rPr>
        <w:t xml:space="preserve">: </w:t>
      </w:r>
      <w:r w:rsidRPr="006052EF">
        <w:rPr>
          <w:sz w:val="24"/>
        </w:rPr>
        <w:t>GB 15193.23-2014</w:t>
      </w:r>
      <w:r w:rsidRPr="00253CC3">
        <w:rPr>
          <w:sz w:val="24"/>
        </w:rPr>
        <w:t>[S]. 2015.</w:t>
      </w:r>
    </w:p>
    <w:p w14:paraId="5D998498" w14:textId="77777777" w:rsidR="00236FB4" w:rsidRDefault="00236FB4" w:rsidP="00236FB4">
      <w:pPr>
        <w:adjustRightInd w:val="0"/>
        <w:snapToGrid w:val="0"/>
        <w:spacing w:line="360" w:lineRule="auto"/>
        <w:ind w:firstLineChars="200" w:firstLine="480"/>
        <w:jc w:val="both"/>
        <w:rPr>
          <w:sz w:val="24"/>
        </w:rPr>
      </w:pPr>
      <w:r w:rsidRPr="0011464D">
        <w:rPr>
          <w:sz w:val="24"/>
        </w:rPr>
        <w:t xml:space="preserve">5. </w:t>
      </w:r>
      <w:r w:rsidRPr="00C00B66">
        <w:rPr>
          <w:sz w:val="24"/>
        </w:rPr>
        <w:t>VICH GL23</w:t>
      </w:r>
      <w:r>
        <w:rPr>
          <w:rFonts w:hint="eastAsia"/>
          <w:sz w:val="24"/>
        </w:rPr>
        <w:t xml:space="preserve"> </w:t>
      </w:r>
      <w:r w:rsidRPr="00C00B66">
        <w:rPr>
          <w:sz w:val="24"/>
        </w:rPr>
        <w:t>(R). Studies to evaluate the safety of residues of veterinary drugs in human food: genotoxicity testing. 20</w:t>
      </w:r>
      <w:r>
        <w:rPr>
          <w:rFonts w:hint="eastAsia"/>
          <w:sz w:val="24"/>
        </w:rPr>
        <w:t>15</w:t>
      </w:r>
      <w:r w:rsidRPr="00C00B66">
        <w:rPr>
          <w:sz w:val="24"/>
        </w:rPr>
        <w:t>.</w:t>
      </w:r>
    </w:p>
    <w:p w14:paraId="47ADAF9F" w14:textId="1C9EA2BA" w:rsidR="0053644F" w:rsidRDefault="00236FB4" w:rsidP="00CB6D44">
      <w:pPr>
        <w:adjustRightInd w:val="0"/>
        <w:snapToGrid w:val="0"/>
        <w:spacing w:line="360" w:lineRule="auto"/>
        <w:ind w:firstLineChars="200" w:firstLine="480"/>
        <w:jc w:val="both"/>
      </w:pPr>
      <w:r>
        <w:rPr>
          <w:rFonts w:hint="eastAsia"/>
          <w:sz w:val="24"/>
        </w:rPr>
        <w:t>6</w:t>
      </w:r>
      <w:r w:rsidRPr="00C00B66">
        <w:rPr>
          <w:sz w:val="24"/>
        </w:rPr>
        <w:t xml:space="preserve">. </w:t>
      </w:r>
      <w:r w:rsidRPr="0011464D">
        <w:rPr>
          <w:sz w:val="24"/>
        </w:rPr>
        <w:t>VICH GL23</w:t>
      </w:r>
      <w:r>
        <w:rPr>
          <w:rFonts w:hint="eastAsia"/>
          <w:sz w:val="24"/>
        </w:rPr>
        <w:t xml:space="preserve"> </w:t>
      </w:r>
      <w:r w:rsidRPr="0011464D">
        <w:rPr>
          <w:sz w:val="24"/>
        </w:rPr>
        <w:t>(R2). Studies to evaluate the safety of residues of veterinary drugs in human food: genotoxicity testing</w:t>
      </w:r>
      <w:r w:rsidRPr="00C00B66">
        <w:t xml:space="preserve"> </w:t>
      </w:r>
      <w:r w:rsidRPr="00C00B66">
        <w:rPr>
          <w:sz w:val="24"/>
        </w:rPr>
        <w:t>(</w:t>
      </w:r>
      <w:r>
        <w:rPr>
          <w:rFonts w:hint="eastAsia"/>
          <w:sz w:val="24"/>
        </w:rPr>
        <w:t>d</w:t>
      </w:r>
      <w:r w:rsidRPr="00C00B66">
        <w:rPr>
          <w:sz w:val="24"/>
        </w:rPr>
        <w:t>raft guidelines)</w:t>
      </w:r>
      <w:r w:rsidRPr="0011464D">
        <w:rPr>
          <w:sz w:val="24"/>
        </w:rPr>
        <w:t>. 2024.</w:t>
      </w:r>
      <w:bookmarkEnd w:id="16"/>
    </w:p>
    <w:sectPr w:rsidR="00536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FCA5" w14:textId="77777777" w:rsidR="00392027" w:rsidRDefault="00392027" w:rsidP="00510DB1">
      <w:r>
        <w:separator/>
      </w:r>
    </w:p>
  </w:endnote>
  <w:endnote w:type="continuationSeparator" w:id="0">
    <w:p w14:paraId="7FB8CD11" w14:textId="77777777" w:rsidR="00392027" w:rsidRDefault="00392027" w:rsidP="0051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F0EE" w14:textId="77777777" w:rsidR="00392027" w:rsidRDefault="00392027" w:rsidP="00510DB1">
      <w:r>
        <w:separator/>
      </w:r>
    </w:p>
  </w:footnote>
  <w:footnote w:type="continuationSeparator" w:id="0">
    <w:p w14:paraId="6B6AB33A" w14:textId="77777777" w:rsidR="00392027" w:rsidRDefault="00392027" w:rsidP="00510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A2025"/>
    <w:multiLevelType w:val="multilevel"/>
    <w:tmpl w:val="2AC2DBF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16211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B4"/>
    <w:rsid w:val="00064DC5"/>
    <w:rsid w:val="000A33F1"/>
    <w:rsid w:val="000F0F16"/>
    <w:rsid w:val="0011098B"/>
    <w:rsid w:val="001B6B85"/>
    <w:rsid w:val="00215F5D"/>
    <w:rsid w:val="00236FB4"/>
    <w:rsid w:val="00245359"/>
    <w:rsid w:val="00274CEC"/>
    <w:rsid w:val="002819C7"/>
    <w:rsid w:val="00283C33"/>
    <w:rsid w:val="00286EA0"/>
    <w:rsid w:val="0036474B"/>
    <w:rsid w:val="0037796F"/>
    <w:rsid w:val="00392027"/>
    <w:rsid w:val="003E62CD"/>
    <w:rsid w:val="00405B94"/>
    <w:rsid w:val="00473088"/>
    <w:rsid w:val="00510DB1"/>
    <w:rsid w:val="0053644F"/>
    <w:rsid w:val="0062188D"/>
    <w:rsid w:val="00632B7B"/>
    <w:rsid w:val="007075C5"/>
    <w:rsid w:val="00747534"/>
    <w:rsid w:val="00783DF0"/>
    <w:rsid w:val="007F008E"/>
    <w:rsid w:val="00A8743A"/>
    <w:rsid w:val="00A950C0"/>
    <w:rsid w:val="00B1651C"/>
    <w:rsid w:val="00B8402E"/>
    <w:rsid w:val="00B87F09"/>
    <w:rsid w:val="00BC3913"/>
    <w:rsid w:val="00C16659"/>
    <w:rsid w:val="00C33FAA"/>
    <w:rsid w:val="00C74023"/>
    <w:rsid w:val="00CB6D44"/>
    <w:rsid w:val="00CD2A3A"/>
    <w:rsid w:val="00CF20EF"/>
    <w:rsid w:val="00D23242"/>
    <w:rsid w:val="00D9537E"/>
    <w:rsid w:val="00E27C2B"/>
    <w:rsid w:val="00FD10DB"/>
    <w:rsid w:val="00FD4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82FA7"/>
  <w15:chartTrackingRefBased/>
  <w15:docId w15:val="{B98AC552-FE26-4DDA-8F69-37C12BEE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36FB4"/>
    <w:rPr>
      <w:rFonts w:ascii="Times New Roman" w:eastAsia="宋体" w:hAnsi="Times New Roman" w:cs="Times New Roman"/>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
    <w:name w:val="前言、引言标题"/>
    <w:next w:val="a3"/>
    <w:rsid w:val="00236FB4"/>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3"/>
    <w:rsid w:val="00236FB4"/>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3"/>
    <w:rsid w:val="00236FB4"/>
    <w:pPr>
      <w:numPr>
        <w:ilvl w:val="2"/>
        <w:numId w:val="1"/>
      </w:numPr>
      <w:outlineLvl w:val="2"/>
    </w:pPr>
    <w:rPr>
      <w:rFonts w:ascii="Times New Roman" w:eastAsia="黑体" w:hAnsi="Times New Roman" w:cs="Times New Roman"/>
      <w:kern w:val="0"/>
      <w:szCs w:val="20"/>
    </w:rPr>
  </w:style>
  <w:style w:type="paragraph" w:customStyle="1" w:styleId="a2">
    <w:name w:val="二级条标题"/>
    <w:basedOn w:val="a1"/>
    <w:next w:val="a3"/>
    <w:rsid w:val="00236FB4"/>
    <w:pPr>
      <w:numPr>
        <w:ilvl w:val="3"/>
      </w:numPr>
      <w:outlineLvl w:val="3"/>
    </w:pPr>
  </w:style>
  <w:style w:type="paragraph" w:customStyle="1" w:styleId="1">
    <w:name w:val="纯文本1"/>
    <w:basedOn w:val="a3"/>
    <w:rsid w:val="00236FB4"/>
    <w:pPr>
      <w:widowControl w:val="0"/>
      <w:adjustRightInd w:val="0"/>
      <w:jc w:val="both"/>
    </w:pPr>
    <w:rPr>
      <w:rFonts w:ascii="宋体" w:hAnsi="Courier New"/>
      <w:szCs w:val="20"/>
    </w:rPr>
  </w:style>
  <w:style w:type="character" w:styleId="a7">
    <w:name w:val="annotation reference"/>
    <w:basedOn w:val="a4"/>
    <w:uiPriority w:val="99"/>
    <w:semiHidden/>
    <w:unhideWhenUsed/>
    <w:rsid w:val="000F0F16"/>
    <w:rPr>
      <w:sz w:val="21"/>
      <w:szCs w:val="21"/>
    </w:rPr>
  </w:style>
  <w:style w:type="paragraph" w:styleId="a8">
    <w:name w:val="annotation text"/>
    <w:basedOn w:val="a3"/>
    <w:link w:val="a9"/>
    <w:uiPriority w:val="99"/>
    <w:semiHidden/>
    <w:unhideWhenUsed/>
    <w:rsid w:val="000F0F16"/>
  </w:style>
  <w:style w:type="character" w:customStyle="1" w:styleId="a9">
    <w:name w:val="批注文字 字符"/>
    <w:basedOn w:val="a4"/>
    <w:link w:val="a8"/>
    <w:uiPriority w:val="99"/>
    <w:semiHidden/>
    <w:rsid w:val="000F0F16"/>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0F0F16"/>
    <w:rPr>
      <w:b/>
      <w:bCs/>
    </w:rPr>
  </w:style>
  <w:style w:type="character" w:customStyle="1" w:styleId="ab">
    <w:name w:val="批注主题 字符"/>
    <w:basedOn w:val="a9"/>
    <w:link w:val="aa"/>
    <w:uiPriority w:val="99"/>
    <w:semiHidden/>
    <w:rsid w:val="000F0F16"/>
    <w:rPr>
      <w:rFonts w:ascii="Times New Roman" w:eastAsia="宋体" w:hAnsi="Times New Roman" w:cs="Times New Roman"/>
      <w:b/>
      <w:bCs/>
      <w:szCs w:val="24"/>
    </w:rPr>
  </w:style>
  <w:style w:type="paragraph" w:styleId="ac">
    <w:name w:val="Balloon Text"/>
    <w:basedOn w:val="a3"/>
    <w:link w:val="ad"/>
    <w:uiPriority w:val="99"/>
    <w:semiHidden/>
    <w:unhideWhenUsed/>
    <w:rsid w:val="000F0F16"/>
    <w:rPr>
      <w:sz w:val="18"/>
      <w:szCs w:val="18"/>
    </w:rPr>
  </w:style>
  <w:style w:type="character" w:customStyle="1" w:styleId="ad">
    <w:name w:val="批注框文本 字符"/>
    <w:basedOn w:val="a4"/>
    <w:link w:val="ac"/>
    <w:uiPriority w:val="99"/>
    <w:semiHidden/>
    <w:rsid w:val="000F0F16"/>
    <w:rPr>
      <w:rFonts w:ascii="Times New Roman" w:eastAsia="宋体" w:hAnsi="Times New Roman" w:cs="Times New Roman"/>
      <w:sz w:val="18"/>
      <w:szCs w:val="18"/>
    </w:rPr>
  </w:style>
  <w:style w:type="paragraph" w:styleId="ae">
    <w:name w:val="header"/>
    <w:basedOn w:val="a3"/>
    <w:link w:val="af"/>
    <w:uiPriority w:val="99"/>
    <w:unhideWhenUsed/>
    <w:rsid w:val="00510DB1"/>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4"/>
    <w:link w:val="ae"/>
    <w:uiPriority w:val="99"/>
    <w:rsid w:val="00510DB1"/>
    <w:rPr>
      <w:rFonts w:ascii="Times New Roman" w:eastAsia="宋体" w:hAnsi="Times New Roman" w:cs="Times New Roman"/>
      <w:sz w:val="18"/>
      <w:szCs w:val="18"/>
    </w:rPr>
  </w:style>
  <w:style w:type="paragraph" w:styleId="af0">
    <w:name w:val="footer"/>
    <w:basedOn w:val="a3"/>
    <w:link w:val="af1"/>
    <w:uiPriority w:val="99"/>
    <w:unhideWhenUsed/>
    <w:rsid w:val="00510DB1"/>
    <w:pPr>
      <w:tabs>
        <w:tab w:val="center" w:pos="4153"/>
        <w:tab w:val="right" w:pos="8306"/>
      </w:tabs>
      <w:snapToGrid w:val="0"/>
    </w:pPr>
    <w:rPr>
      <w:sz w:val="18"/>
      <w:szCs w:val="18"/>
    </w:rPr>
  </w:style>
  <w:style w:type="character" w:customStyle="1" w:styleId="af1">
    <w:name w:val="页脚 字符"/>
    <w:basedOn w:val="a4"/>
    <w:link w:val="af0"/>
    <w:uiPriority w:val="99"/>
    <w:rsid w:val="00510DB1"/>
    <w:rPr>
      <w:rFonts w:ascii="Times New Roman" w:eastAsia="宋体" w:hAnsi="Times New Roman" w:cs="Times New Roman"/>
      <w:sz w:val="18"/>
      <w:szCs w:val="18"/>
    </w:rPr>
  </w:style>
  <w:style w:type="paragraph" w:styleId="af2">
    <w:name w:val="Revision"/>
    <w:hidden/>
    <w:uiPriority w:val="99"/>
    <w:semiHidden/>
    <w:rsid w:val="00FD463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聪 段</cp:lastModifiedBy>
  <cp:revision>34</cp:revision>
  <dcterms:created xsi:type="dcterms:W3CDTF">2025-02-28T07:24:00Z</dcterms:created>
  <dcterms:modified xsi:type="dcterms:W3CDTF">2025-03-24T12:11:00Z</dcterms:modified>
</cp:coreProperties>
</file>