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439" w:rsidRPr="005740E6" w:rsidRDefault="00E70439" w:rsidP="00E70439">
      <w:pPr>
        <w:adjustRightInd w:val="0"/>
        <w:snapToGrid w:val="0"/>
        <w:spacing w:line="360" w:lineRule="auto"/>
        <w:jc w:val="center"/>
        <w:rPr>
          <w:rFonts w:ascii="方正小标宋简体" w:eastAsia="方正小标宋简体" w:hAnsi="黑体" w:hint="eastAsia"/>
          <w:sz w:val="44"/>
          <w:szCs w:val="44"/>
        </w:rPr>
      </w:pPr>
      <w:r w:rsidRPr="005740E6">
        <w:rPr>
          <w:rFonts w:ascii="方正小标宋简体" w:eastAsia="方正小标宋简体" w:hAnsi="黑体" w:hint="eastAsia"/>
          <w:sz w:val="44"/>
          <w:szCs w:val="44"/>
        </w:rPr>
        <w:t>兽药哺乳动物精原细胞染色体畸变试验技术指导原则</w:t>
      </w:r>
    </w:p>
    <w:p w:rsidR="00E70439" w:rsidRPr="005740E6" w:rsidRDefault="00E70439" w:rsidP="00E70439">
      <w:pPr>
        <w:adjustRightInd w:val="0"/>
        <w:snapToGrid w:val="0"/>
        <w:spacing w:line="360" w:lineRule="auto"/>
        <w:ind w:firstLineChars="200" w:firstLine="560"/>
        <w:jc w:val="both"/>
        <w:rPr>
          <w:rFonts w:ascii="黑体" w:eastAsia="黑体" w:hAnsi="黑体" w:hint="eastAsia"/>
          <w:sz w:val="28"/>
          <w:szCs w:val="28"/>
        </w:rPr>
      </w:pPr>
      <w:r w:rsidRPr="005740E6">
        <w:rPr>
          <w:rFonts w:ascii="黑体" w:eastAsia="黑体" w:hAnsi="黑体" w:hint="eastAsia"/>
          <w:sz w:val="28"/>
          <w:szCs w:val="28"/>
        </w:rPr>
        <w:t>一、概述</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（一）目的</w:t>
      </w:r>
    </w:p>
    <w:p w:rsidR="00E70439" w:rsidRPr="00595D0E" w:rsidRDefault="00E70439" w:rsidP="00E70439">
      <w:pPr>
        <w:adjustRightInd w:val="0"/>
        <w:snapToGrid w:val="0"/>
        <w:spacing w:line="360" w:lineRule="auto"/>
        <w:ind w:firstLineChars="200" w:firstLine="480"/>
        <w:jc w:val="both"/>
      </w:pPr>
      <w:r w:rsidRPr="00595D0E">
        <w:rPr>
          <w:rFonts w:hint="eastAsia"/>
          <w:sz w:val="24"/>
        </w:rPr>
        <w:t>哺乳动物精原细胞染色体畸变试验是一种通过检测受试物引起动物（通常是啮齿类动物）精原细胞染色体结构畸变的能力以评价受试物对雄性生殖细胞的致突变性的方法。在试验动物通过适当的途径接触受试物一定时间后，</w:t>
      </w:r>
      <w:proofErr w:type="gramStart"/>
      <w:r w:rsidRPr="00595D0E">
        <w:rPr>
          <w:rFonts w:hint="eastAsia"/>
          <w:sz w:val="24"/>
        </w:rPr>
        <w:t>用中期</w:t>
      </w:r>
      <w:proofErr w:type="gramEnd"/>
      <w:r w:rsidRPr="00595D0E">
        <w:rPr>
          <w:rFonts w:hint="eastAsia"/>
          <w:sz w:val="24"/>
        </w:rPr>
        <w:t>分裂相阻断剂（如秋水仙素或秋水仙碱）处理，随后处死、取材，经低渗、固定、软化及染色后制备精原细胞染色体标本，在显微镜下观察中期分裂相细胞，分析精原细胞染色体畸变。</w:t>
      </w:r>
    </w:p>
    <w:p w:rsidR="00E70439" w:rsidRPr="00595D0E" w:rsidRDefault="00E70439" w:rsidP="00E70439">
      <w:pPr>
        <w:adjustRightInd w:val="0"/>
        <w:snapToGrid w:val="0"/>
        <w:spacing w:line="360" w:lineRule="auto"/>
        <w:ind w:firstLineChars="200" w:firstLine="480"/>
        <w:jc w:val="both"/>
      </w:pPr>
      <w:r w:rsidRPr="00595D0E">
        <w:rPr>
          <w:rFonts w:hint="eastAsia"/>
          <w:sz w:val="24"/>
        </w:rPr>
        <w:t>如果有证据表明受试物或其活性代谢产物在睾丸中无法达到足够的暴露量，则不适合使用本方法。本方法不适用于检测染色体数目畸变。</w:t>
      </w:r>
    </w:p>
    <w:p w:rsidR="00E70439" w:rsidRPr="00595D0E" w:rsidRDefault="00E70439" w:rsidP="00E70439">
      <w:pPr>
        <w:adjustRightInd w:val="0"/>
        <w:snapToGrid w:val="0"/>
        <w:spacing w:line="360" w:lineRule="auto"/>
        <w:ind w:firstLineChars="200" w:firstLine="480"/>
        <w:jc w:val="both"/>
      </w:pPr>
      <w:r w:rsidRPr="00595D0E">
        <w:rPr>
          <w:rFonts w:hint="eastAsia"/>
          <w:sz w:val="24"/>
        </w:rPr>
        <w:t>为了确保兽药哺乳动物精原细胞染色体畸变试验结果的真实性、可靠性和</w:t>
      </w:r>
      <w:proofErr w:type="gramStart"/>
      <w:r w:rsidRPr="00595D0E">
        <w:rPr>
          <w:rFonts w:hint="eastAsia"/>
          <w:sz w:val="24"/>
        </w:rPr>
        <w:t>可</w:t>
      </w:r>
      <w:proofErr w:type="gramEnd"/>
      <w:r w:rsidRPr="00595D0E">
        <w:rPr>
          <w:rFonts w:hint="eastAsia"/>
          <w:sz w:val="24"/>
        </w:rPr>
        <w:t>追溯性，根据新兽药研究的规律，结合国内兽药毒理学评价的实际情况制定了本指导原则。对偏离本指导原则的试验研究，申请人应进行解释说明。</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（二）适用范围</w:t>
      </w:r>
    </w:p>
    <w:p w:rsidR="000F14EF" w:rsidRDefault="004C0B86" w:rsidP="000F14EF">
      <w:pPr>
        <w:adjustRightInd w:val="0"/>
        <w:snapToGrid w:val="0"/>
        <w:spacing w:line="360" w:lineRule="auto"/>
        <w:ind w:firstLineChars="200" w:firstLine="480"/>
        <w:jc w:val="both"/>
      </w:pPr>
      <w:r w:rsidRPr="004C0B86">
        <w:rPr>
          <w:rFonts w:hint="eastAsia"/>
          <w:sz w:val="24"/>
        </w:rPr>
        <w:t>本指导原则适用于兽用化学药物、兽用中药和兽用天然药物。消毒剂参考使用</w:t>
      </w:r>
      <w:r w:rsidR="000F14EF">
        <w:rPr>
          <w:rFonts w:hint="eastAsia"/>
          <w:sz w:val="24"/>
        </w:rPr>
        <w:t>。</w:t>
      </w:r>
    </w:p>
    <w:p w:rsidR="0039520D" w:rsidRPr="00D97350" w:rsidRDefault="0039520D" w:rsidP="0039520D">
      <w:pPr>
        <w:adjustRightInd w:val="0"/>
        <w:snapToGrid w:val="0"/>
        <w:spacing w:line="360" w:lineRule="auto"/>
        <w:ind w:firstLineChars="200" w:firstLine="560"/>
        <w:jc w:val="both"/>
        <w:rPr>
          <w:rFonts w:ascii="黑体" w:eastAsia="黑体" w:hAnsi="黑体" w:hint="eastAsia"/>
          <w:sz w:val="28"/>
          <w:szCs w:val="28"/>
        </w:rPr>
      </w:pPr>
      <w:r w:rsidRPr="00D97350">
        <w:rPr>
          <w:rFonts w:ascii="黑体" w:eastAsia="黑体" w:hAnsi="黑体" w:hint="eastAsia"/>
          <w:sz w:val="28"/>
          <w:szCs w:val="28"/>
        </w:rPr>
        <w:t>二、基本原则</w:t>
      </w:r>
    </w:p>
    <w:p w:rsidR="0039520D" w:rsidRPr="000500D4" w:rsidRDefault="0039520D" w:rsidP="0039520D">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（一）实验管理</w:t>
      </w:r>
    </w:p>
    <w:p w:rsidR="0039520D" w:rsidRPr="000500D4" w:rsidRDefault="0039520D" w:rsidP="0039520D">
      <w:pPr>
        <w:adjustRightInd w:val="0"/>
        <w:snapToGrid w:val="0"/>
        <w:spacing w:line="360" w:lineRule="auto"/>
        <w:ind w:firstLineChars="200" w:firstLine="480"/>
        <w:jc w:val="both"/>
        <w:rPr>
          <w:sz w:val="24"/>
        </w:rPr>
      </w:pPr>
      <w:r w:rsidRPr="0039520D">
        <w:rPr>
          <w:rFonts w:hint="eastAsia"/>
          <w:sz w:val="24"/>
        </w:rPr>
        <w:t>兽药哺乳动物精原细胞染色体畸变试验</w:t>
      </w:r>
      <w:r w:rsidRPr="000500D4">
        <w:rPr>
          <w:rFonts w:hint="eastAsia"/>
          <w:sz w:val="24"/>
        </w:rPr>
        <w:t>须执行《兽药非临床研究质量管理规范》或《药物非临床研究质量管理规范》。</w:t>
      </w:r>
    </w:p>
    <w:p w:rsidR="0039520D" w:rsidRPr="000500D4" w:rsidRDefault="0039520D" w:rsidP="0039520D">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（二）具体问题具体分析</w:t>
      </w:r>
    </w:p>
    <w:p w:rsidR="0039520D" w:rsidRPr="000500D4" w:rsidRDefault="0039520D" w:rsidP="0039520D">
      <w:pPr>
        <w:adjustRightInd w:val="0"/>
        <w:snapToGrid w:val="0"/>
        <w:spacing w:line="360" w:lineRule="auto"/>
        <w:ind w:firstLineChars="200" w:firstLine="480"/>
        <w:jc w:val="both"/>
        <w:rPr>
          <w:sz w:val="24"/>
        </w:rPr>
      </w:pPr>
      <w:r w:rsidRPr="0039520D">
        <w:rPr>
          <w:rFonts w:hint="eastAsia"/>
          <w:sz w:val="24"/>
        </w:rPr>
        <w:t>兽药哺乳动物精原细胞染色体畸变试验</w:t>
      </w:r>
      <w:r w:rsidRPr="000500D4">
        <w:rPr>
          <w:rFonts w:hint="eastAsia"/>
          <w:sz w:val="24"/>
        </w:rPr>
        <w:t>的设计，应在对受试物认知的基础上，遵循“具体问题具体分析”的原则。应根据受试物的结构特点、理化性质、已有的药理毒理研究信息、适应证和适用</w:t>
      </w:r>
      <w:proofErr w:type="gramStart"/>
      <w:r w:rsidRPr="000500D4">
        <w:rPr>
          <w:rFonts w:hint="eastAsia"/>
          <w:sz w:val="24"/>
        </w:rPr>
        <w:t>靶动物</w:t>
      </w:r>
      <w:proofErr w:type="gramEnd"/>
      <w:r w:rsidRPr="000500D4">
        <w:rPr>
          <w:rFonts w:hint="eastAsia"/>
          <w:sz w:val="24"/>
        </w:rPr>
        <w:t>特点、临床用药方案等选择合理的试验方法，设计适宜的试验方案，并综合上述信息对试验结果进行全面分析评价。</w:t>
      </w:r>
    </w:p>
    <w:p w:rsidR="00E70439" w:rsidRPr="005740E6" w:rsidRDefault="000E705E" w:rsidP="00E70439">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lastRenderedPageBreak/>
        <w:t>三</w:t>
      </w:r>
      <w:r w:rsidR="00E70439" w:rsidRPr="005740E6">
        <w:rPr>
          <w:rFonts w:ascii="黑体" w:eastAsia="黑体" w:hAnsi="黑体" w:hint="eastAsia"/>
          <w:sz w:val="28"/>
          <w:szCs w:val="28"/>
        </w:rPr>
        <w:t>、试验设计</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（一）实验动物</w:t>
      </w:r>
    </w:p>
    <w:p w:rsidR="00E70439" w:rsidRPr="00B517A7" w:rsidRDefault="00E70439" w:rsidP="00E70439">
      <w:pPr>
        <w:adjustRightInd w:val="0"/>
        <w:snapToGrid w:val="0"/>
        <w:spacing w:line="360" w:lineRule="auto"/>
        <w:ind w:firstLineChars="200" w:firstLine="480"/>
        <w:jc w:val="both"/>
        <w:rPr>
          <w:color w:val="000000" w:themeColor="text1"/>
          <w:kern w:val="0"/>
          <w:sz w:val="24"/>
        </w:rPr>
      </w:pPr>
      <w:r w:rsidRPr="00B517A7">
        <w:rPr>
          <w:color w:val="000000" w:themeColor="text1"/>
          <w:kern w:val="0"/>
          <w:sz w:val="24"/>
        </w:rPr>
        <w:t>1.</w:t>
      </w:r>
      <w:r w:rsidRPr="00B517A7">
        <w:rPr>
          <w:color w:val="000000" w:themeColor="text1"/>
          <w:kern w:val="0"/>
          <w:sz w:val="24"/>
        </w:rPr>
        <w:t>动物选择</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该试验通常采用健康</w:t>
      </w:r>
      <w:r w:rsidR="002C7E28">
        <w:rPr>
          <w:rFonts w:hint="eastAsia"/>
          <w:noProof/>
          <w:kern w:val="0"/>
          <w:sz w:val="24"/>
        </w:rPr>
        <w:t>/</w:t>
      </w:r>
      <w:r w:rsidR="002C7E28">
        <w:rPr>
          <w:rFonts w:hint="eastAsia"/>
          <w:noProof/>
          <w:kern w:val="0"/>
          <w:sz w:val="24"/>
        </w:rPr>
        <w:t>性成熟</w:t>
      </w:r>
      <w:r w:rsidRPr="008D47BA">
        <w:rPr>
          <w:rFonts w:hint="eastAsia"/>
          <w:noProof/>
          <w:kern w:val="0"/>
          <w:sz w:val="24"/>
        </w:rPr>
        <w:t>雄性小鼠，给药起始年龄建议为</w:t>
      </w:r>
      <w:r w:rsidRPr="00B517A7">
        <w:rPr>
          <w:noProof/>
          <w:kern w:val="0"/>
          <w:sz w:val="24"/>
        </w:rPr>
        <w:t>8</w:t>
      </w:r>
      <w:r w:rsidRPr="008D47BA">
        <w:rPr>
          <w:rFonts w:hint="eastAsia"/>
          <w:noProof/>
          <w:kern w:val="0"/>
          <w:sz w:val="24"/>
        </w:rPr>
        <w:t>～</w:t>
      </w:r>
      <w:r w:rsidRPr="00B517A7">
        <w:rPr>
          <w:noProof/>
          <w:kern w:val="0"/>
          <w:sz w:val="24"/>
        </w:rPr>
        <w:t>12</w:t>
      </w:r>
      <w:r w:rsidRPr="008D47BA">
        <w:rPr>
          <w:rFonts w:hint="eastAsia"/>
          <w:noProof/>
          <w:kern w:val="0"/>
          <w:sz w:val="24"/>
        </w:rPr>
        <w:t>周龄。若采用其他雄性哺乳动物，需提供相应的科学依据。应从有实验动物资质证明的饲养单位购买。如果没有资质证明，动物应来源清楚，饲养规范。</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试验开始时，动物体重的差异应不超过平均体重的</w:t>
      </w:r>
      <w:r w:rsidRPr="00447443">
        <w:rPr>
          <w:noProof/>
          <w:kern w:val="0"/>
          <w:sz w:val="24"/>
        </w:rPr>
        <w:t>±</w:t>
      </w:r>
      <w:r w:rsidRPr="00B517A7">
        <w:rPr>
          <w:noProof/>
          <w:kern w:val="0"/>
          <w:sz w:val="24"/>
        </w:rPr>
        <w:t>20%</w:t>
      </w:r>
      <w:r w:rsidRPr="008D47BA">
        <w:rPr>
          <w:rFonts w:hint="eastAsia"/>
          <w:noProof/>
          <w:kern w:val="0"/>
          <w:sz w:val="24"/>
        </w:rPr>
        <w:t>。</w:t>
      </w:r>
    </w:p>
    <w:p w:rsidR="00E70439" w:rsidRPr="00B517A7" w:rsidRDefault="00E70439" w:rsidP="00E70439">
      <w:pPr>
        <w:adjustRightInd w:val="0"/>
        <w:snapToGrid w:val="0"/>
        <w:spacing w:line="360" w:lineRule="auto"/>
        <w:ind w:firstLineChars="200" w:firstLine="480"/>
        <w:jc w:val="both"/>
        <w:rPr>
          <w:color w:val="000000" w:themeColor="text1"/>
          <w:kern w:val="0"/>
          <w:sz w:val="24"/>
        </w:rPr>
      </w:pPr>
      <w:r w:rsidRPr="008D47BA">
        <w:rPr>
          <w:color w:val="000000" w:themeColor="text1"/>
          <w:kern w:val="0"/>
          <w:sz w:val="24"/>
        </w:rPr>
        <w:t>2</w:t>
      </w:r>
      <w:r w:rsidRPr="00B517A7">
        <w:rPr>
          <w:color w:val="000000" w:themeColor="text1"/>
          <w:kern w:val="0"/>
          <w:sz w:val="24"/>
        </w:rPr>
        <w:t>.</w:t>
      </w:r>
      <w:r w:rsidRPr="00B517A7">
        <w:rPr>
          <w:color w:val="000000" w:themeColor="text1"/>
          <w:kern w:val="0"/>
          <w:sz w:val="24"/>
        </w:rPr>
        <w:t>动物</w:t>
      </w:r>
      <w:r w:rsidRPr="008D47BA">
        <w:rPr>
          <w:rFonts w:hint="eastAsia"/>
          <w:color w:val="000000" w:themeColor="text1"/>
          <w:kern w:val="0"/>
          <w:sz w:val="24"/>
        </w:rPr>
        <w:t>数量</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每组每个采样时间点至少包括</w:t>
      </w:r>
      <w:r w:rsidRPr="00B517A7">
        <w:rPr>
          <w:noProof/>
          <w:kern w:val="0"/>
          <w:sz w:val="24"/>
        </w:rPr>
        <w:t>5</w:t>
      </w:r>
      <w:r w:rsidRPr="008D47BA">
        <w:rPr>
          <w:rFonts w:hint="eastAsia"/>
          <w:noProof/>
          <w:kern w:val="0"/>
          <w:sz w:val="24"/>
        </w:rPr>
        <w:t>只可用于分析的动物。</w:t>
      </w:r>
    </w:p>
    <w:p w:rsidR="00E70439" w:rsidRPr="00B517A7" w:rsidRDefault="00E70439" w:rsidP="00E70439">
      <w:pPr>
        <w:adjustRightInd w:val="0"/>
        <w:snapToGrid w:val="0"/>
        <w:spacing w:line="360" w:lineRule="auto"/>
        <w:ind w:firstLineChars="200" w:firstLine="480"/>
        <w:jc w:val="both"/>
        <w:rPr>
          <w:bCs/>
          <w:color w:val="000000" w:themeColor="text1"/>
          <w:kern w:val="0"/>
          <w:sz w:val="24"/>
        </w:rPr>
      </w:pPr>
      <w:r w:rsidRPr="008D47BA">
        <w:rPr>
          <w:bCs/>
          <w:color w:val="000000" w:themeColor="text1"/>
          <w:kern w:val="0"/>
          <w:sz w:val="24"/>
        </w:rPr>
        <w:t>3</w:t>
      </w:r>
      <w:r w:rsidRPr="00B517A7">
        <w:rPr>
          <w:bCs/>
          <w:color w:val="000000" w:themeColor="text1"/>
          <w:kern w:val="0"/>
          <w:sz w:val="24"/>
        </w:rPr>
        <w:t>.</w:t>
      </w:r>
      <w:r w:rsidRPr="008D47BA">
        <w:rPr>
          <w:rFonts w:hint="eastAsia"/>
          <w:bCs/>
          <w:color w:val="000000" w:themeColor="text1"/>
          <w:kern w:val="0"/>
          <w:sz w:val="24"/>
        </w:rPr>
        <w:t>动物管理</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实验动物分别进行标记编号和称重，随机分组。</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试验前，</w:t>
      </w:r>
      <w:r w:rsidR="00E22A97" w:rsidRPr="00E22A97">
        <w:rPr>
          <w:rFonts w:hint="eastAsia"/>
          <w:noProof/>
          <w:kern w:val="0"/>
          <w:sz w:val="24"/>
        </w:rPr>
        <w:t>应进行检疫观察，</w:t>
      </w:r>
      <w:r w:rsidRPr="008D47BA">
        <w:rPr>
          <w:rFonts w:hint="eastAsia"/>
          <w:noProof/>
          <w:kern w:val="0"/>
          <w:sz w:val="24"/>
        </w:rPr>
        <w:t>环境适应期至少为</w:t>
      </w:r>
      <w:r w:rsidRPr="00B517A7">
        <w:rPr>
          <w:noProof/>
          <w:kern w:val="0"/>
          <w:sz w:val="24"/>
        </w:rPr>
        <w:t>5</w:t>
      </w:r>
      <w:r w:rsidRPr="008D47BA">
        <w:rPr>
          <w:rFonts w:hint="eastAsia"/>
          <w:noProof/>
          <w:kern w:val="0"/>
          <w:sz w:val="24"/>
        </w:rPr>
        <w:t>天。</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饲养条件应符合现行国家标准要求。同一处理组的动物应一起笼养（每笼不超过</w:t>
      </w:r>
      <w:r w:rsidRPr="00B517A7">
        <w:rPr>
          <w:noProof/>
          <w:kern w:val="0"/>
          <w:sz w:val="24"/>
        </w:rPr>
        <w:t>5</w:t>
      </w:r>
      <w:r w:rsidRPr="008D47BA">
        <w:rPr>
          <w:rFonts w:hint="eastAsia"/>
          <w:noProof/>
          <w:kern w:val="0"/>
          <w:sz w:val="24"/>
        </w:rPr>
        <w:t>只）。若动物单只饲养须有充分的科学依据。笼子的安放应随机安排，尽可能减小位置造成的影响。避免阳性对照物和</w:t>
      </w:r>
      <w:r w:rsidR="003476BF">
        <w:rPr>
          <w:rFonts w:hint="eastAsia"/>
          <w:noProof/>
          <w:kern w:val="0"/>
          <w:sz w:val="24"/>
        </w:rPr>
        <w:t>受试物</w:t>
      </w:r>
      <w:r w:rsidRPr="008D47BA">
        <w:rPr>
          <w:rFonts w:hint="eastAsia"/>
          <w:noProof/>
          <w:kern w:val="0"/>
          <w:sz w:val="24"/>
        </w:rPr>
        <w:t>之间交叉污染。</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（二）</w:t>
      </w:r>
      <w:r w:rsidR="003476BF">
        <w:rPr>
          <w:rFonts w:ascii="黑体" w:eastAsia="黑体" w:hAnsi="黑体" w:hint="eastAsia"/>
          <w:sz w:val="24"/>
        </w:rPr>
        <w:t>受试物</w:t>
      </w:r>
    </w:p>
    <w:p w:rsidR="003476BF" w:rsidRPr="00767EFE" w:rsidRDefault="003476BF" w:rsidP="003476BF">
      <w:pPr>
        <w:adjustRightInd w:val="0"/>
        <w:snapToGrid w:val="0"/>
        <w:spacing w:line="360" w:lineRule="auto"/>
        <w:ind w:firstLineChars="200" w:firstLine="480"/>
        <w:rPr>
          <w:sz w:val="24"/>
        </w:rPr>
      </w:pPr>
      <w:r w:rsidRPr="00767EFE">
        <w:rPr>
          <w:rFonts w:hint="eastAsia"/>
          <w:sz w:val="24"/>
        </w:rPr>
        <w:t>化学药物：受试物应采用工艺相对稳定、纯度和杂质含量能反映临床试验拟用样品和</w:t>
      </w:r>
      <w:r w:rsidRPr="00767EFE">
        <w:rPr>
          <w:sz w:val="24"/>
        </w:rPr>
        <w:t>/</w:t>
      </w:r>
      <w:r w:rsidRPr="00767EFE">
        <w:rPr>
          <w:rFonts w:hint="eastAsia"/>
          <w:sz w:val="24"/>
        </w:rPr>
        <w:t>或上市样品质量和安全性的样品。应注明受试物名称、来源、批号、生产日期、含量（或规格）、保存条件、有效期及配制方法等，并提供质量检验报告。试验中所用溶媒和</w:t>
      </w:r>
      <w:r w:rsidRPr="00767EFE">
        <w:rPr>
          <w:sz w:val="24"/>
        </w:rPr>
        <w:t>/</w:t>
      </w:r>
      <w:r w:rsidRPr="00767EFE">
        <w:rPr>
          <w:rFonts w:hint="eastAsia"/>
          <w:sz w:val="24"/>
        </w:rPr>
        <w:t>或辅料应标明名称、标准、批号、有效期、规格和生产单位等，并符合试验要求。</w:t>
      </w:r>
    </w:p>
    <w:p w:rsidR="003476BF" w:rsidRPr="00767EFE" w:rsidRDefault="003476BF" w:rsidP="003476BF">
      <w:pPr>
        <w:adjustRightInd w:val="0"/>
        <w:snapToGrid w:val="0"/>
        <w:spacing w:line="360" w:lineRule="auto"/>
        <w:ind w:firstLineChars="200" w:firstLine="480"/>
        <w:rPr>
          <w:sz w:val="24"/>
        </w:rPr>
      </w:pPr>
      <w:r w:rsidRPr="00767EFE">
        <w:rPr>
          <w:rFonts w:hint="eastAsia"/>
          <w:sz w:val="24"/>
        </w:rPr>
        <w:t>中药、天然药物：受试物应采用能充分代表临床试验拟用样品和</w:t>
      </w:r>
      <w:r w:rsidRPr="00767EFE">
        <w:rPr>
          <w:sz w:val="24"/>
        </w:rPr>
        <w:t>/</w:t>
      </w:r>
      <w:r w:rsidRPr="00767EFE">
        <w:rPr>
          <w:rFonts w:hint="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767EFE">
        <w:rPr>
          <w:sz w:val="24"/>
        </w:rPr>
        <w:t>/</w:t>
      </w:r>
      <w:r w:rsidRPr="00767EFE">
        <w:rPr>
          <w:rFonts w:hint="eastAsia"/>
          <w:sz w:val="24"/>
        </w:rPr>
        <w:t>或辅料应标明名称、标准、批号、有效期、规格及生产单位。</w:t>
      </w:r>
    </w:p>
    <w:p w:rsidR="003476BF" w:rsidRPr="00767EFE" w:rsidRDefault="003476BF" w:rsidP="003476BF">
      <w:pPr>
        <w:adjustRightInd w:val="0"/>
        <w:snapToGrid w:val="0"/>
        <w:spacing w:line="360" w:lineRule="auto"/>
        <w:ind w:firstLineChars="200" w:firstLine="480"/>
        <w:rPr>
          <w:sz w:val="24"/>
        </w:rPr>
      </w:pPr>
      <w:r w:rsidRPr="00767EFE">
        <w:rPr>
          <w:rFonts w:hint="eastAsia"/>
          <w:sz w:val="24"/>
        </w:rPr>
        <w:lastRenderedPageBreak/>
        <w:t>在药物研发的过程中，若受试物的工艺发生变化可能影响其安全性的，应进行相应的安全性研究。</w:t>
      </w:r>
    </w:p>
    <w:p w:rsidR="003476BF" w:rsidRPr="00767EFE" w:rsidRDefault="003476BF" w:rsidP="003476BF">
      <w:pPr>
        <w:adjustRightInd w:val="0"/>
        <w:snapToGrid w:val="0"/>
        <w:spacing w:line="360" w:lineRule="auto"/>
        <w:ind w:firstLineChars="200" w:firstLine="480"/>
        <w:rPr>
          <w:sz w:val="24"/>
        </w:rPr>
      </w:pPr>
      <w:r w:rsidRPr="00767EFE">
        <w:rPr>
          <w:rFonts w:hint="eastAsia"/>
          <w:sz w:val="24"/>
        </w:rPr>
        <w:t>化学药物试验过程中应进行受试物样品分析，并提供样品分析报告。成分基本清楚的中药、天然药物也应进行受试物样品分析。</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（三）试验分组</w:t>
      </w:r>
    </w:p>
    <w:p w:rsidR="00E70439" w:rsidRPr="00595D0E" w:rsidRDefault="00E70439" w:rsidP="00E70439">
      <w:pPr>
        <w:adjustRightInd w:val="0"/>
        <w:snapToGrid w:val="0"/>
        <w:spacing w:line="360" w:lineRule="auto"/>
        <w:ind w:firstLineChars="200" w:firstLine="480"/>
        <w:jc w:val="both"/>
      </w:pPr>
      <w:r w:rsidRPr="00595D0E">
        <w:rPr>
          <w:rFonts w:hint="eastAsia"/>
          <w:sz w:val="24"/>
        </w:rPr>
        <w:t>试验应同时设置</w:t>
      </w:r>
      <w:r w:rsidR="003476BF">
        <w:rPr>
          <w:rFonts w:hint="eastAsia"/>
          <w:sz w:val="24"/>
        </w:rPr>
        <w:t>受试物</w:t>
      </w:r>
      <w:r w:rsidRPr="00595D0E">
        <w:rPr>
          <w:rFonts w:hint="eastAsia"/>
          <w:sz w:val="24"/>
        </w:rPr>
        <w:t>组、阳性对照组和阴性对照组（溶剂对照和</w:t>
      </w:r>
      <w:r w:rsidRPr="00595D0E">
        <w:rPr>
          <w:sz w:val="24"/>
        </w:rPr>
        <w:t>/</w:t>
      </w:r>
      <w:r w:rsidRPr="00595D0E">
        <w:rPr>
          <w:rFonts w:hint="eastAsia"/>
          <w:sz w:val="24"/>
        </w:rPr>
        <w:t>或空白对照）。</w:t>
      </w:r>
    </w:p>
    <w:p w:rsidR="00E70439" w:rsidRPr="00B517A7" w:rsidRDefault="00E70439" w:rsidP="00E70439">
      <w:pPr>
        <w:adjustRightInd w:val="0"/>
        <w:snapToGrid w:val="0"/>
        <w:spacing w:line="360" w:lineRule="auto"/>
        <w:ind w:firstLineChars="200" w:firstLine="480"/>
        <w:jc w:val="both"/>
        <w:rPr>
          <w:noProof/>
          <w:sz w:val="24"/>
        </w:rPr>
      </w:pPr>
      <w:r w:rsidRPr="00B517A7">
        <w:rPr>
          <w:noProof/>
          <w:sz w:val="24"/>
        </w:rPr>
        <w:t>1.</w:t>
      </w:r>
      <w:r w:rsidR="003476BF">
        <w:rPr>
          <w:noProof/>
          <w:sz w:val="24"/>
        </w:rPr>
        <w:t>受试物</w:t>
      </w:r>
      <w:r w:rsidRPr="00B517A7">
        <w:rPr>
          <w:noProof/>
          <w:sz w:val="24"/>
        </w:rPr>
        <w:t>组</w:t>
      </w:r>
    </w:p>
    <w:p w:rsidR="00E70439" w:rsidRPr="00595D0E" w:rsidRDefault="00E70439" w:rsidP="00E70439">
      <w:pPr>
        <w:adjustRightInd w:val="0"/>
        <w:snapToGrid w:val="0"/>
        <w:spacing w:line="360" w:lineRule="auto"/>
        <w:ind w:firstLineChars="200" w:firstLine="480"/>
        <w:jc w:val="both"/>
      </w:pPr>
      <w:r w:rsidRPr="00595D0E">
        <w:rPr>
          <w:rFonts w:hint="eastAsia"/>
          <w:sz w:val="24"/>
        </w:rPr>
        <w:t>至少应设置</w:t>
      </w:r>
      <w:r w:rsidRPr="00595D0E">
        <w:rPr>
          <w:sz w:val="24"/>
        </w:rPr>
        <w:t>3</w:t>
      </w:r>
      <w:r w:rsidRPr="00595D0E">
        <w:rPr>
          <w:rFonts w:hint="eastAsia"/>
          <w:sz w:val="24"/>
        </w:rPr>
        <w:t>个剂量组。</w:t>
      </w:r>
    </w:p>
    <w:p w:rsidR="00E70439" w:rsidRPr="00595D0E" w:rsidRDefault="00E70439" w:rsidP="00E70439">
      <w:pPr>
        <w:adjustRightInd w:val="0"/>
        <w:snapToGrid w:val="0"/>
        <w:spacing w:line="360" w:lineRule="auto"/>
        <w:ind w:firstLineChars="200" w:firstLine="480"/>
        <w:jc w:val="both"/>
      </w:pPr>
      <w:bookmarkStart w:id="0" w:name="_Hlk180132031"/>
      <w:r w:rsidRPr="00595D0E">
        <w:rPr>
          <w:rFonts w:hint="eastAsia"/>
          <w:sz w:val="24"/>
        </w:rPr>
        <w:t>根据相关毒性试验或</w:t>
      </w:r>
      <w:proofErr w:type="gramStart"/>
      <w:r w:rsidRPr="00595D0E">
        <w:rPr>
          <w:rFonts w:hint="eastAsia"/>
          <w:sz w:val="24"/>
        </w:rPr>
        <w:t>预试验</w:t>
      </w:r>
      <w:proofErr w:type="gramEnd"/>
      <w:r w:rsidRPr="00595D0E">
        <w:rPr>
          <w:rFonts w:hint="eastAsia"/>
          <w:sz w:val="24"/>
        </w:rPr>
        <w:t>的结果确定高剂量，最高剂量之下的其他剂量一般剂量间距为约</w:t>
      </w:r>
      <w:r w:rsidRPr="00595D0E">
        <w:rPr>
          <w:sz w:val="24"/>
        </w:rPr>
        <w:t>2</w:t>
      </w:r>
      <w:r w:rsidRPr="00595D0E">
        <w:rPr>
          <w:rFonts w:hint="eastAsia"/>
          <w:sz w:val="24"/>
        </w:rPr>
        <w:t>～</w:t>
      </w:r>
      <w:r w:rsidRPr="00595D0E">
        <w:rPr>
          <w:sz w:val="24"/>
        </w:rPr>
        <w:t>3</w:t>
      </w:r>
      <w:r w:rsidRPr="00595D0E">
        <w:rPr>
          <w:rFonts w:hint="eastAsia"/>
          <w:sz w:val="24"/>
        </w:rPr>
        <w:t>倍，对于具有血液或骨髓毒性的</w:t>
      </w:r>
      <w:r w:rsidR="003476BF">
        <w:rPr>
          <w:rFonts w:hint="eastAsia"/>
          <w:sz w:val="24"/>
        </w:rPr>
        <w:t>受试物</w:t>
      </w:r>
      <w:r w:rsidRPr="00595D0E">
        <w:rPr>
          <w:rFonts w:hint="eastAsia"/>
          <w:sz w:val="24"/>
        </w:rPr>
        <w:t>，应在具有严重红细胞系毒性（如具有明显的嗜多染红细胞或网织红细胞抑制）的高剂量之下、间距不超过约</w:t>
      </w:r>
      <w:r w:rsidRPr="00595D0E">
        <w:rPr>
          <w:sz w:val="24"/>
        </w:rPr>
        <w:t>2</w:t>
      </w:r>
      <w:r w:rsidRPr="00595D0E">
        <w:rPr>
          <w:rFonts w:hint="eastAsia"/>
          <w:sz w:val="24"/>
        </w:rPr>
        <w:t>倍。例如，如果</w:t>
      </w:r>
      <w:r w:rsidR="003476BF">
        <w:rPr>
          <w:rFonts w:hint="eastAsia"/>
          <w:sz w:val="24"/>
        </w:rPr>
        <w:t>受试物</w:t>
      </w:r>
      <w:r w:rsidRPr="00595D0E">
        <w:rPr>
          <w:rFonts w:hint="eastAsia"/>
          <w:sz w:val="24"/>
        </w:rPr>
        <w:t>具有毒性，最高剂量组原则上为动物出现严重中毒表现和</w:t>
      </w:r>
      <w:r w:rsidRPr="00595D0E">
        <w:rPr>
          <w:sz w:val="24"/>
        </w:rPr>
        <w:t>/</w:t>
      </w:r>
      <w:r w:rsidRPr="00595D0E">
        <w:rPr>
          <w:rFonts w:hint="eastAsia"/>
          <w:sz w:val="24"/>
        </w:rPr>
        <w:t>或个别动物出现死亡的剂量，一般可取</w:t>
      </w:r>
      <w:r w:rsidRPr="00595D0E">
        <w:rPr>
          <w:sz w:val="24"/>
        </w:rPr>
        <w:t>1/2 LD</w:t>
      </w:r>
      <w:r w:rsidRPr="00595D0E">
        <w:rPr>
          <w:sz w:val="24"/>
          <w:vertAlign w:val="subscript"/>
        </w:rPr>
        <w:t>50</w:t>
      </w:r>
      <w:r w:rsidRPr="00595D0E">
        <w:rPr>
          <w:rFonts w:hint="eastAsia"/>
          <w:sz w:val="24"/>
        </w:rPr>
        <w:t>，低剂量组应不表现出毒性，分别可取</w:t>
      </w:r>
      <w:r w:rsidRPr="00595D0E">
        <w:rPr>
          <w:sz w:val="24"/>
        </w:rPr>
        <w:t>1/4 LD</w:t>
      </w:r>
      <w:r w:rsidRPr="00595D0E">
        <w:rPr>
          <w:sz w:val="24"/>
          <w:vertAlign w:val="subscript"/>
        </w:rPr>
        <w:t>50</w:t>
      </w:r>
      <w:r w:rsidRPr="00595D0E">
        <w:rPr>
          <w:rFonts w:hint="eastAsia"/>
          <w:sz w:val="24"/>
        </w:rPr>
        <w:t>和</w:t>
      </w:r>
      <w:r w:rsidRPr="00595D0E">
        <w:rPr>
          <w:sz w:val="24"/>
        </w:rPr>
        <w:t>1/8 LD</w:t>
      </w:r>
      <w:r w:rsidRPr="00595D0E">
        <w:rPr>
          <w:sz w:val="24"/>
          <w:vertAlign w:val="subscript"/>
        </w:rPr>
        <w:t>50</w:t>
      </w:r>
      <w:r w:rsidRPr="00595D0E">
        <w:rPr>
          <w:rFonts w:hint="eastAsia"/>
          <w:sz w:val="24"/>
        </w:rPr>
        <w:t>作为中、低剂量。急性毒性试验给予</w:t>
      </w:r>
      <w:r w:rsidR="003476BF">
        <w:rPr>
          <w:rFonts w:hint="eastAsia"/>
          <w:sz w:val="24"/>
        </w:rPr>
        <w:t>受试</w:t>
      </w:r>
      <w:proofErr w:type="gramStart"/>
      <w:r w:rsidR="003476BF">
        <w:rPr>
          <w:rFonts w:hint="eastAsia"/>
          <w:sz w:val="24"/>
        </w:rPr>
        <w:t>物</w:t>
      </w:r>
      <w:r w:rsidRPr="00595D0E">
        <w:rPr>
          <w:rFonts w:hint="eastAsia"/>
          <w:sz w:val="24"/>
        </w:rPr>
        <w:t>最大</w:t>
      </w:r>
      <w:proofErr w:type="gramEnd"/>
      <w:r w:rsidRPr="00595D0E">
        <w:rPr>
          <w:rFonts w:hint="eastAsia"/>
          <w:sz w:val="24"/>
        </w:rPr>
        <w:t>剂量（最大使用浓度和最大灌胃容量）动物无死亡而求不出</w:t>
      </w:r>
      <w:r w:rsidRPr="00595D0E">
        <w:rPr>
          <w:sz w:val="24"/>
        </w:rPr>
        <w:t>LD</w:t>
      </w:r>
      <w:r w:rsidRPr="00595D0E">
        <w:rPr>
          <w:sz w:val="24"/>
          <w:vertAlign w:val="subscript"/>
        </w:rPr>
        <w:t>50</w:t>
      </w:r>
      <w:r w:rsidRPr="00595D0E">
        <w:rPr>
          <w:rFonts w:hint="eastAsia"/>
          <w:sz w:val="24"/>
        </w:rPr>
        <w:t>，单次给药推荐的最高剂量为</w:t>
      </w:r>
      <w:r w:rsidRPr="00595D0E">
        <w:rPr>
          <w:sz w:val="24"/>
        </w:rPr>
        <w:t>2000mg/kg/</w:t>
      </w:r>
      <w:r w:rsidRPr="00595D0E">
        <w:rPr>
          <w:rFonts w:hint="eastAsia"/>
          <w:sz w:val="24"/>
        </w:rPr>
        <w:t>天。</w:t>
      </w:r>
    </w:p>
    <w:p w:rsidR="00E70439" w:rsidRPr="00595D0E" w:rsidRDefault="00E70439" w:rsidP="00E70439">
      <w:pPr>
        <w:adjustRightInd w:val="0"/>
        <w:snapToGrid w:val="0"/>
        <w:spacing w:line="360" w:lineRule="auto"/>
        <w:ind w:firstLineChars="200" w:firstLine="480"/>
        <w:jc w:val="both"/>
      </w:pPr>
      <w:r w:rsidRPr="00595D0E">
        <w:rPr>
          <w:rFonts w:hint="eastAsia"/>
          <w:sz w:val="24"/>
        </w:rPr>
        <w:t>为更充分地研究剂量</w:t>
      </w:r>
      <w:r w:rsidRPr="00595D0E">
        <w:rPr>
          <w:sz w:val="24"/>
        </w:rPr>
        <w:t>-</w:t>
      </w:r>
      <w:r w:rsidRPr="00595D0E">
        <w:rPr>
          <w:rFonts w:hint="eastAsia"/>
          <w:sz w:val="24"/>
        </w:rPr>
        <w:t>反应曲线的形状可能需要增加剂量组。</w:t>
      </w:r>
    </w:p>
    <w:bookmarkEnd w:id="0"/>
    <w:p w:rsidR="00E70439" w:rsidRPr="00B517A7" w:rsidRDefault="00E70439" w:rsidP="00E70439">
      <w:pPr>
        <w:adjustRightInd w:val="0"/>
        <w:snapToGrid w:val="0"/>
        <w:spacing w:line="360" w:lineRule="auto"/>
        <w:ind w:firstLineChars="200" w:firstLine="480"/>
        <w:jc w:val="both"/>
        <w:rPr>
          <w:noProof/>
          <w:sz w:val="24"/>
        </w:rPr>
      </w:pPr>
      <w:r w:rsidRPr="00B517A7">
        <w:rPr>
          <w:noProof/>
          <w:sz w:val="24"/>
        </w:rPr>
        <w:t>2.</w:t>
      </w:r>
      <w:r w:rsidRPr="00B517A7">
        <w:rPr>
          <w:noProof/>
          <w:sz w:val="24"/>
        </w:rPr>
        <w:t>阳性对照组</w:t>
      </w:r>
    </w:p>
    <w:p w:rsidR="00E70439" w:rsidRPr="00595D0E" w:rsidRDefault="00E70439" w:rsidP="00E70439">
      <w:pPr>
        <w:adjustRightInd w:val="0"/>
        <w:snapToGrid w:val="0"/>
        <w:spacing w:line="360" w:lineRule="auto"/>
        <w:ind w:firstLineChars="200" w:firstLine="480"/>
        <w:jc w:val="both"/>
      </w:pPr>
      <w:r w:rsidRPr="00595D0E">
        <w:rPr>
          <w:rFonts w:hint="eastAsia"/>
          <w:sz w:val="24"/>
        </w:rPr>
        <w:t>采用已知的阳性诱变剂替代</w:t>
      </w:r>
      <w:r w:rsidR="003476BF">
        <w:rPr>
          <w:rFonts w:hint="eastAsia"/>
          <w:sz w:val="24"/>
        </w:rPr>
        <w:t>受试物</w:t>
      </w:r>
      <w:r w:rsidRPr="00595D0E">
        <w:rPr>
          <w:rFonts w:hint="eastAsia"/>
          <w:sz w:val="24"/>
        </w:rPr>
        <w:t>。推荐的阳性诱变剂包括环磷酰胺（</w:t>
      </w:r>
      <w:proofErr w:type="gramStart"/>
      <w:r w:rsidRPr="00595D0E">
        <w:rPr>
          <w:rFonts w:hint="eastAsia"/>
          <w:sz w:val="24"/>
        </w:rPr>
        <w:t>一</w:t>
      </w:r>
      <w:proofErr w:type="gramEnd"/>
      <w:r w:rsidRPr="00595D0E">
        <w:rPr>
          <w:rFonts w:hint="eastAsia"/>
          <w:sz w:val="24"/>
        </w:rPr>
        <w:t>水合物）、环己胺、丝裂霉素</w:t>
      </w:r>
      <w:r w:rsidRPr="00595D0E">
        <w:rPr>
          <w:sz w:val="24"/>
        </w:rPr>
        <w:t>C</w:t>
      </w:r>
      <w:r w:rsidRPr="00595D0E">
        <w:rPr>
          <w:rFonts w:hint="eastAsia"/>
          <w:sz w:val="24"/>
        </w:rPr>
        <w:t>、单聚丙烯酰胺、</w:t>
      </w:r>
      <w:proofErr w:type="gramStart"/>
      <w:r w:rsidRPr="00595D0E">
        <w:rPr>
          <w:rFonts w:hint="eastAsia"/>
          <w:sz w:val="24"/>
        </w:rPr>
        <w:t>亚乙基蜜</w:t>
      </w:r>
      <w:proofErr w:type="gramEnd"/>
      <w:r w:rsidRPr="00595D0E">
        <w:rPr>
          <w:rFonts w:hint="eastAsia"/>
          <w:sz w:val="24"/>
        </w:rPr>
        <w:t>胺。阳性对照物的剂量水平应预期在体内产生高于本底值的精原细胞或精母细胞染色体结构畸变，且增高程度能达到可检出的水平，又不使阅片者立即发现其为阳性对照组样本。</w:t>
      </w:r>
    </w:p>
    <w:p w:rsidR="00E70439" w:rsidRPr="00B517A7" w:rsidRDefault="00E70439" w:rsidP="00E70439">
      <w:pPr>
        <w:adjustRightInd w:val="0"/>
        <w:snapToGrid w:val="0"/>
        <w:spacing w:line="360" w:lineRule="auto"/>
        <w:ind w:firstLineChars="200" w:firstLine="480"/>
        <w:jc w:val="both"/>
        <w:rPr>
          <w:noProof/>
          <w:sz w:val="24"/>
        </w:rPr>
      </w:pPr>
      <w:r w:rsidRPr="00B517A7">
        <w:rPr>
          <w:noProof/>
          <w:sz w:val="24"/>
        </w:rPr>
        <w:t>3.</w:t>
      </w:r>
      <w:r w:rsidRPr="00B517A7">
        <w:rPr>
          <w:noProof/>
          <w:sz w:val="24"/>
        </w:rPr>
        <w:t>溶剂对照组</w:t>
      </w:r>
    </w:p>
    <w:p w:rsidR="00E70439" w:rsidRPr="00595D0E" w:rsidRDefault="00E70439" w:rsidP="00E70439">
      <w:pPr>
        <w:adjustRightInd w:val="0"/>
        <w:snapToGrid w:val="0"/>
        <w:spacing w:line="360" w:lineRule="auto"/>
        <w:ind w:firstLineChars="200" w:firstLine="480"/>
        <w:jc w:val="both"/>
      </w:pPr>
      <w:r w:rsidRPr="00595D0E">
        <w:rPr>
          <w:rFonts w:hint="eastAsia"/>
          <w:sz w:val="24"/>
        </w:rPr>
        <w:t>仅含和</w:t>
      </w:r>
      <w:r w:rsidR="003476BF">
        <w:rPr>
          <w:rFonts w:hint="eastAsia"/>
          <w:sz w:val="24"/>
        </w:rPr>
        <w:t>受试</w:t>
      </w:r>
      <w:proofErr w:type="gramStart"/>
      <w:r w:rsidR="003476BF">
        <w:rPr>
          <w:rFonts w:hint="eastAsia"/>
          <w:sz w:val="24"/>
        </w:rPr>
        <w:t>物</w:t>
      </w:r>
      <w:r w:rsidRPr="00595D0E">
        <w:rPr>
          <w:rFonts w:hint="eastAsia"/>
          <w:sz w:val="24"/>
        </w:rPr>
        <w:t>组相同</w:t>
      </w:r>
      <w:proofErr w:type="gramEnd"/>
      <w:r w:rsidRPr="00595D0E">
        <w:rPr>
          <w:rFonts w:hint="eastAsia"/>
          <w:sz w:val="24"/>
        </w:rPr>
        <w:t>的溶剂，不含</w:t>
      </w:r>
      <w:r w:rsidR="003476BF">
        <w:rPr>
          <w:rFonts w:hint="eastAsia"/>
          <w:sz w:val="24"/>
        </w:rPr>
        <w:t>受试物</w:t>
      </w:r>
      <w:r w:rsidRPr="00595D0E">
        <w:rPr>
          <w:rFonts w:hint="eastAsia"/>
          <w:sz w:val="24"/>
        </w:rPr>
        <w:t>。</w:t>
      </w:r>
    </w:p>
    <w:p w:rsidR="00E70439" w:rsidRPr="00B517A7" w:rsidRDefault="00E70439" w:rsidP="00E70439">
      <w:pPr>
        <w:adjustRightInd w:val="0"/>
        <w:snapToGrid w:val="0"/>
        <w:spacing w:line="360" w:lineRule="auto"/>
        <w:ind w:firstLineChars="200" w:firstLine="480"/>
        <w:jc w:val="both"/>
        <w:rPr>
          <w:noProof/>
          <w:sz w:val="24"/>
        </w:rPr>
      </w:pPr>
      <w:r w:rsidRPr="00B517A7">
        <w:rPr>
          <w:noProof/>
          <w:sz w:val="24"/>
        </w:rPr>
        <w:t>4.</w:t>
      </w:r>
      <w:r w:rsidRPr="00B517A7">
        <w:rPr>
          <w:noProof/>
          <w:sz w:val="24"/>
        </w:rPr>
        <w:t>空白对照组</w:t>
      </w:r>
    </w:p>
    <w:p w:rsidR="00E70439" w:rsidRPr="00595D0E" w:rsidRDefault="00E70439" w:rsidP="00E70439">
      <w:pPr>
        <w:adjustRightInd w:val="0"/>
        <w:snapToGrid w:val="0"/>
        <w:spacing w:line="360" w:lineRule="auto"/>
        <w:ind w:firstLineChars="200" w:firstLine="480"/>
        <w:jc w:val="both"/>
      </w:pPr>
      <w:r w:rsidRPr="00595D0E">
        <w:rPr>
          <w:rFonts w:hint="eastAsia"/>
          <w:sz w:val="24"/>
        </w:rPr>
        <w:t>如果现有资料不能证实溶剂不具有致突变性，还应设空白对照。</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（四）给药方案</w:t>
      </w:r>
    </w:p>
    <w:p w:rsidR="00E70439" w:rsidRPr="00595D0E" w:rsidRDefault="00E70439" w:rsidP="00E70439">
      <w:pPr>
        <w:adjustRightInd w:val="0"/>
        <w:snapToGrid w:val="0"/>
        <w:spacing w:line="360" w:lineRule="auto"/>
        <w:ind w:firstLineChars="200" w:firstLine="480"/>
        <w:jc w:val="both"/>
      </w:pPr>
      <w:r w:rsidRPr="00595D0E">
        <w:rPr>
          <w:rFonts w:hint="eastAsia"/>
          <w:sz w:val="24"/>
        </w:rPr>
        <w:t>一般采用灌胃（或注射）给药。通常单次给药</w:t>
      </w:r>
      <w:r w:rsidRPr="00767EFE">
        <w:rPr>
          <w:rFonts w:hint="eastAsia"/>
          <w:color w:val="000000" w:themeColor="text1"/>
          <w:sz w:val="24"/>
        </w:rPr>
        <w:t>（或一日内分两次给药，给药间隔最好为</w:t>
      </w:r>
      <w:r w:rsidRPr="00767EFE">
        <w:rPr>
          <w:color w:val="000000" w:themeColor="text1"/>
          <w:sz w:val="24"/>
        </w:rPr>
        <w:t>4h</w:t>
      </w:r>
      <w:r w:rsidRPr="00767EFE">
        <w:rPr>
          <w:rFonts w:hint="eastAsia"/>
          <w:color w:val="000000" w:themeColor="text1"/>
          <w:sz w:val="24"/>
        </w:rPr>
        <w:t>～</w:t>
      </w:r>
      <w:r w:rsidRPr="00767EFE">
        <w:rPr>
          <w:color w:val="000000" w:themeColor="text1"/>
          <w:sz w:val="24"/>
        </w:rPr>
        <w:t>6h</w:t>
      </w:r>
      <w:r w:rsidRPr="00767EFE">
        <w:rPr>
          <w:rFonts w:hint="eastAsia"/>
          <w:color w:val="000000" w:themeColor="text1"/>
          <w:sz w:val="24"/>
        </w:rPr>
        <w:t>）</w:t>
      </w:r>
      <w:r w:rsidRPr="00595D0E">
        <w:rPr>
          <w:rFonts w:hint="eastAsia"/>
          <w:sz w:val="24"/>
        </w:rPr>
        <w:t>。采用其他给</w:t>
      </w:r>
      <w:proofErr w:type="gramStart"/>
      <w:r w:rsidRPr="00595D0E">
        <w:rPr>
          <w:rFonts w:hint="eastAsia"/>
          <w:sz w:val="24"/>
        </w:rPr>
        <w:t>药方式需提供</w:t>
      </w:r>
      <w:proofErr w:type="gramEnd"/>
      <w:r w:rsidRPr="00595D0E">
        <w:rPr>
          <w:rFonts w:hint="eastAsia"/>
          <w:sz w:val="24"/>
        </w:rPr>
        <w:t>科学依据。</w:t>
      </w:r>
    </w:p>
    <w:p w:rsidR="00E70439" w:rsidRPr="00CE61AF" w:rsidRDefault="00E70439" w:rsidP="00E70439">
      <w:pPr>
        <w:adjustRightInd w:val="0"/>
        <w:snapToGrid w:val="0"/>
        <w:spacing w:line="360" w:lineRule="auto"/>
        <w:ind w:firstLineChars="200" w:firstLine="480"/>
        <w:jc w:val="both"/>
        <w:rPr>
          <w:rFonts w:ascii="黑体" w:eastAsia="黑体" w:hAnsi="黑体" w:hint="eastAsia"/>
          <w:sz w:val="24"/>
        </w:rPr>
      </w:pPr>
      <w:r w:rsidRPr="00CE61AF">
        <w:rPr>
          <w:rFonts w:ascii="黑体" w:eastAsia="黑体" w:hAnsi="黑体" w:hint="eastAsia"/>
          <w:sz w:val="24"/>
        </w:rPr>
        <w:lastRenderedPageBreak/>
        <w:t>（五）采样</w:t>
      </w:r>
    </w:p>
    <w:p w:rsidR="00E70439" w:rsidRPr="00B517A7" w:rsidRDefault="00E70439" w:rsidP="00E70439">
      <w:pPr>
        <w:adjustRightInd w:val="0"/>
        <w:snapToGrid w:val="0"/>
        <w:spacing w:line="360" w:lineRule="auto"/>
        <w:ind w:firstLineChars="200" w:firstLine="480"/>
        <w:jc w:val="both"/>
        <w:rPr>
          <w:sz w:val="24"/>
        </w:rPr>
      </w:pPr>
      <w:r w:rsidRPr="008D47BA">
        <w:rPr>
          <w:rFonts w:hint="eastAsia"/>
          <w:sz w:val="24"/>
        </w:rPr>
        <w:t>采样前，经腹腔注射适量的中期分裂相阻断剂（如秋水仙素或秋水仙碱），对于小鼠和大鼠，通常在采样前</w:t>
      </w:r>
      <w:r w:rsidRPr="00B517A7">
        <w:rPr>
          <w:sz w:val="24"/>
        </w:rPr>
        <w:t>3</w:t>
      </w:r>
      <w:r>
        <w:rPr>
          <w:rFonts w:hint="eastAsia"/>
          <w:sz w:val="24"/>
        </w:rPr>
        <w:t>h</w:t>
      </w:r>
      <w:r w:rsidRPr="008D47BA">
        <w:rPr>
          <w:rFonts w:hint="eastAsia"/>
          <w:sz w:val="24"/>
        </w:rPr>
        <w:t>～</w:t>
      </w:r>
      <w:r w:rsidRPr="00B517A7">
        <w:rPr>
          <w:sz w:val="24"/>
        </w:rPr>
        <w:t>5h</w:t>
      </w:r>
      <w:r w:rsidRPr="008D47BA">
        <w:rPr>
          <w:rFonts w:hint="eastAsia"/>
          <w:sz w:val="24"/>
        </w:rPr>
        <w:t>。</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sz w:val="24"/>
        </w:rPr>
        <w:t>如果采用单次给药，</w:t>
      </w:r>
      <w:r w:rsidRPr="008D47BA">
        <w:rPr>
          <w:rFonts w:hint="eastAsia"/>
          <w:noProof/>
          <w:kern w:val="0"/>
          <w:sz w:val="24"/>
        </w:rPr>
        <w:t>高剂量组应于末次给药后的第</w:t>
      </w:r>
      <w:r w:rsidRPr="008D47BA">
        <w:rPr>
          <w:noProof/>
          <w:kern w:val="0"/>
          <w:sz w:val="24"/>
        </w:rPr>
        <w:t>24h</w:t>
      </w:r>
      <w:r w:rsidRPr="008D47BA">
        <w:rPr>
          <w:rFonts w:hint="eastAsia"/>
          <w:noProof/>
          <w:kern w:val="0"/>
          <w:sz w:val="24"/>
        </w:rPr>
        <w:t>和第</w:t>
      </w:r>
      <w:r w:rsidRPr="008D47BA">
        <w:rPr>
          <w:noProof/>
          <w:kern w:val="0"/>
          <w:sz w:val="24"/>
        </w:rPr>
        <w:t>48h</w:t>
      </w:r>
      <w:r w:rsidRPr="008D47BA">
        <w:rPr>
          <w:rFonts w:hint="eastAsia"/>
          <w:noProof/>
          <w:kern w:val="0"/>
          <w:sz w:val="24"/>
        </w:rPr>
        <w:t>采样，中、低剂量组均在末次给药后</w:t>
      </w:r>
      <w:r w:rsidRPr="008D47BA">
        <w:rPr>
          <w:noProof/>
          <w:kern w:val="0"/>
          <w:sz w:val="24"/>
        </w:rPr>
        <w:t>24h</w:t>
      </w:r>
      <w:r w:rsidRPr="008D47BA">
        <w:rPr>
          <w:rFonts w:hint="eastAsia"/>
          <w:noProof/>
          <w:kern w:val="0"/>
          <w:sz w:val="24"/>
        </w:rPr>
        <w:t>采样。根据需要可以采用其他采样时间，但需提供科学依据，如当</w:t>
      </w:r>
      <w:r w:rsidR="003476BF">
        <w:rPr>
          <w:rFonts w:hint="eastAsia"/>
          <w:noProof/>
          <w:kern w:val="0"/>
          <w:sz w:val="24"/>
        </w:rPr>
        <w:t>受试物</w:t>
      </w:r>
      <w:r w:rsidRPr="008D47BA">
        <w:rPr>
          <w:rFonts w:hint="eastAsia"/>
          <w:noProof/>
          <w:kern w:val="0"/>
          <w:sz w:val="24"/>
        </w:rPr>
        <w:t>能产生</w:t>
      </w:r>
      <w:r w:rsidRPr="00B517A7">
        <w:rPr>
          <w:noProof/>
          <w:kern w:val="0"/>
          <w:sz w:val="24"/>
        </w:rPr>
        <w:t>S</w:t>
      </w:r>
      <w:r w:rsidRPr="008D47BA">
        <w:rPr>
          <w:rFonts w:hint="eastAsia"/>
          <w:noProof/>
          <w:kern w:val="0"/>
          <w:sz w:val="24"/>
        </w:rPr>
        <w:t>期独立效应时，较早的采样时间可能是合适的。</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（六）观察指标</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sz w:val="24"/>
        </w:rPr>
        <w:t>1.</w:t>
      </w:r>
      <w:r w:rsidRPr="008D47BA">
        <w:rPr>
          <w:rFonts w:hint="eastAsia"/>
          <w:noProof/>
          <w:kern w:val="0"/>
          <w:sz w:val="24"/>
        </w:rPr>
        <w:t>临床观察</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每天至少进行一次一般临床观察并记录临床表现，最好在每天的同一时间进行。在给药期间，每天观察实验动物的发病和死亡情况。</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sz w:val="24"/>
        </w:rPr>
        <w:t>2.</w:t>
      </w:r>
      <w:r w:rsidRPr="008D47BA">
        <w:rPr>
          <w:rFonts w:hint="eastAsia"/>
          <w:noProof/>
          <w:kern w:val="0"/>
          <w:sz w:val="24"/>
        </w:rPr>
        <w:t>细胞分析</w:t>
      </w:r>
    </w:p>
    <w:p w:rsidR="00E70439" w:rsidRPr="00595D0E" w:rsidRDefault="00E70439" w:rsidP="00E70439">
      <w:pPr>
        <w:adjustRightInd w:val="0"/>
        <w:snapToGrid w:val="0"/>
        <w:spacing w:line="360" w:lineRule="auto"/>
        <w:ind w:firstLineChars="200" w:firstLine="480"/>
        <w:jc w:val="both"/>
      </w:pPr>
      <w:r w:rsidRPr="00595D0E">
        <w:rPr>
          <w:rFonts w:hint="eastAsia"/>
          <w:sz w:val="24"/>
        </w:rPr>
        <w:t>动物处死后迅速取出睾丸，获取精原细胞，制片、染色后，阅片分析。</w:t>
      </w:r>
    </w:p>
    <w:p w:rsidR="00E70439" w:rsidRPr="00595D0E" w:rsidRDefault="00E70439" w:rsidP="00E70439">
      <w:pPr>
        <w:adjustRightInd w:val="0"/>
        <w:snapToGrid w:val="0"/>
        <w:spacing w:line="360" w:lineRule="auto"/>
        <w:ind w:firstLineChars="200" w:firstLine="480"/>
        <w:jc w:val="both"/>
      </w:pPr>
      <w:r w:rsidRPr="00595D0E">
        <w:rPr>
          <w:rFonts w:hint="eastAsia"/>
          <w:sz w:val="24"/>
        </w:rPr>
        <w:t>每只动物至少计数</w:t>
      </w:r>
      <w:r w:rsidRPr="00595D0E">
        <w:rPr>
          <w:sz w:val="24"/>
        </w:rPr>
        <w:t>100</w:t>
      </w:r>
      <w:r w:rsidRPr="00595D0E">
        <w:rPr>
          <w:rFonts w:hint="eastAsia"/>
          <w:sz w:val="24"/>
        </w:rPr>
        <w:t>个中期分裂相细胞，每个剂量组至少观察</w:t>
      </w:r>
      <w:r w:rsidRPr="00595D0E">
        <w:rPr>
          <w:sz w:val="24"/>
        </w:rPr>
        <w:t>500</w:t>
      </w:r>
      <w:r w:rsidRPr="00595D0E">
        <w:rPr>
          <w:rFonts w:hint="eastAsia"/>
          <w:sz w:val="24"/>
        </w:rPr>
        <w:t>个中期分裂相，以测定染色体结构畸变细胞的百分率（即染色体结构畸变率）。若阴性对照历史数据库的染色体结构畸变率背景值低于</w:t>
      </w:r>
      <w:r w:rsidRPr="00595D0E">
        <w:rPr>
          <w:sz w:val="24"/>
        </w:rPr>
        <w:t>1%</w:t>
      </w:r>
      <w:r w:rsidRPr="00595D0E">
        <w:rPr>
          <w:rFonts w:hint="eastAsia"/>
          <w:sz w:val="24"/>
        </w:rPr>
        <w:t>时，需要计数更多的分裂中期相细胞，若观察到的畸变细胞数量较多时，可以减少观察的细胞数。染色单体型</w:t>
      </w:r>
      <w:r>
        <w:rPr>
          <w:rFonts w:hint="eastAsia"/>
          <w:sz w:val="24"/>
        </w:rPr>
        <w:t>畸变</w:t>
      </w:r>
      <w:r w:rsidRPr="00595D0E">
        <w:rPr>
          <w:rFonts w:hint="eastAsia"/>
          <w:sz w:val="24"/>
        </w:rPr>
        <w:t>与染色体型畸变应分别记录并记录亚型（断裂、交换）。裂隙应单独记录，但不计入畸变率中。同时</w:t>
      </w:r>
      <w:bookmarkStart w:id="1" w:name="_Hlk173498918"/>
      <w:r w:rsidRPr="00595D0E">
        <w:rPr>
          <w:rFonts w:hint="eastAsia"/>
          <w:sz w:val="24"/>
        </w:rPr>
        <w:t>应单独记录多倍体和内复制等数目畸变，但不计入畸变率中</w:t>
      </w:r>
      <w:bookmarkEnd w:id="1"/>
      <w:r w:rsidRPr="00595D0E">
        <w:rPr>
          <w:rFonts w:hint="eastAsia"/>
          <w:sz w:val="24"/>
        </w:rPr>
        <w:t>。主要观察项目见“附录”。</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r w:rsidRPr="005740E6">
        <w:rPr>
          <w:rFonts w:ascii="黑体" w:eastAsia="黑体" w:hAnsi="黑体" w:hint="eastAsia"/>
          <w:sz w:val="24"/>
        </w:rPr>
        <w:t>（七）结果分析及评价</w:t>
      </w:r>
    </w:p>
    <w:p w:rsidR="00E70439" w:rsidRPr="005740E6" w:rsidRDefault="00E70439" w:rsidP="00E70439">
      <w:pPr>
        <w:adjustRightInd w:val="0"/>
        <w:snapToGrid w:val="0"/>
        <w:spacing w:line="360" w:lineRule="auto"/>
        <w:ind w:firstLineChars="200" w:firstLine="480"/>
        <w:jc w:val="both"/>
        <w:rPr>
          <w:sz w:val="24"/>
        </w:rPr>
      </w:pPr>
      <w:r w:rsidRPr="00595D0E">
        <w:rPr>
          <w:rFonts w:hint="eastAsia"/>
          <w:sz w:val="24"/>
        </w:rPr>
        <w:t>结果中应描述各剂量组的毒性大小，包括一般症状、死亡情况等。主要评价指标</w:t>
      </w:r>
      <w:r w:rsidRPr="005740E6">
        <w:rPr>
          <w:rFonts w:hint="eastAsia"/>
          <w:sz w:val="24"/>
        </w:rPr>
        <w:t>为</w:t>
      </w:r>
      <w:bookmarkStart w:id="2" w:name="_Hlk177747280"/>
      <w:r w:rsidRPr="005740E6">
        <w:rPr>
          <w:rFonts w:hint="eastAsia"/>
          <w:sz w:val="24"/>
        </w:rPr>
        <w:t>染色体结构畸变率</w:t>
      </w:r>
      <w:bookmarkEnd w:id="2"/>
      <w:r w:rsidRPr="005740E6">
        <w:rPr>
          <w:rFonts w:hint="eastAsia"/>
          <w:sz w:val="24"/>
        </w:rPr>
        <w:t>。可用二项分布或其他适当的统计学方法对所得试验数据进行统计学分析。</w:t>
      </w:r>
    </w:p>
    <w:p w:rsidR="00E70439" w:rsidRPr="005740E6"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应以表格形式列出每只动物数据，包括一般症状、死亡情况、观察的细胞数、含有结构畸变染色体的细胞数、染色体结构畸变率、</w:t>
      </w:r>
      <w:bookmarkStart w:id="3" w:name="_Hlk173499349"/>
      <w:r w:rsidRPr="008D47BA">
        <w:rPr>
          <w:rFonts w:hint="eastAsia"/>
          <w:noProof/>
          <w:kern w:val="0"/>
          <w:sz w:val="24"/>
        </w:rPr>
        <w:t>不同类型染色体畸变数及其频率等</w:t>
      </w:r>
      <w:bookmarkEnd w:id="3"/>
      <w:r w:rsidRPr="008D47BA">
        <w:rPr>
          <w:rFonts w:hint="eastAsia"/>
          <w:noProof/>
          <w:kern w:val="0"/>
          <w:sz w:val="24"/>
        </w:rPr>
        <w:t>。</w:t>
      </w:r>
      <w:bookmarkStart w:id="4" w:name="_Hlk173498928"/>
      <w:r w:rsidRPr="005740E6">
        <w:rPr>
          <w:rFonts w:hint="eastAsia"/>
          <w:noProof/>
          <w:kern w:val="0"/>
          <w:sz w:val="24"/>
        </w:rPr>
        <w:t>多倍体和内复制等数目畸变、裂隙应单独记录，不计入总的畸变率中</w:t>
      </w:r>
      <w:bookmarkEnd w:id="4"/>
      <w:r w:rsidRPr="005740E6">
        <w:rPr>
          <w:rFonts w:hint="eastAsia"/>
          <w:noProof/>
          <w:kern w:val="0"/>
          <w:sz w:val="24"/>
        </w:rPr>
        <w:t>。多倍体数目的增加提示</w:t>
      </w:r>
      <w:r w:rsidR="003476BF">
        <w:rPr>
          <w:rFonts w:hint="eastAsia"/>
          <w:noProof/>
          <w:kern w:val="0"/>
          <w:sz w:val="24"/>
        </w:rPr>
        <w:t>受试物</w:t>
      </w:r>
      <w:r w:rsidRPr="005740E6">
        <w:rPr>
          <w:rFonts w:hint="eastAsia"/>
          <w:noProof/>
          <w:kern w:val="0"/>
          <w:sz w:val="24"/>
        </w:rPr>
        <w:t>可能会抑制有丝分裂或诱导染色体数目畸变。出现染色体内复制的细胞数增多提示</w:t>
      </w:r>
      <w:r w:rsidR="003476BF">
        <w:rPr>
          <w:rFonts w:hint="eastAsia"/>
          <w:noProof/>
          <w:kern w:val="0"/>
          <w:sz w:val="24"/>
        </w:rPr>
        <w:t>受试物</w:t>
      </w:r>
      <w:r w:rsidRPr="005740E6">
        <w:rPr>
          <w:rFonts w:hint="eastAsia"/>
          <w:noProof/>
          <w:kern w:val="0"/>
          <w:sz w:val="24"/>
        </w:rPr>
        <w:t>可能会影响细胞周期。</w:t>
      </w:r>
      <w:r w:rsidR="00A4427E" w:rsidRPr="00A4427E">
        <w:rPr>
          <w:rFonts w:hint="eastAsia"/>
          <w:noProof/>
          <w:kern w:val="0"/>
          <w:sz w:val="24"/>
        </w:rPr>
        <w:t>同时，提供本实验室历史性的阴性对照和阳性对照资料，包括范围、均值、标准差、</w:t>
      </w:r>
      <w:r w:rsidR="00A4427E" w:rsidRPr="00A4427E">
        <w:rPr>
          <w:rFonts w:hint="eastAsia"/>
          <w:noProof/>
          <w:kern w:val="0"/>
          <w:sz w:val="24"/>
        </w:rPr>
        <w:t>95%</w:t>
      </w:r>
      <w:r w:rsidR="00A4427E" w:rsidRPr="00A4427E">
        <w:rPr>
          <w:rFonts w:hint="eastAsia"/>
          <w:noProof/>
          <w:kern w:val="0"/>
          <w:sz w:val="24"/>
        </w:rPr>
        <w:t>置信区间、样品数和时间等</w:t>
      </w:r>
      <w:r w:rsidR="006A4309">
        <w:rPr>
          <w:rFonts w:hint="eastAsia"/>
          <w:noProof/>
          <w:kern w:val="0"/>
          <w:sz w:val="24"/>
        </w:rPr>
        <w:t>。</w:t>
      </w:r>
    </w:p>
    <w:p w:rsidR="00274F73" w:rsidRPr="00767EFE" w:rsidRDefault="00274F73" w:rsidP="00274F73">
      <w:pPr>
        <w:adjustRightInd w:val="0"/>
        <w:snapToGrid w:val="0"/>
        <w:spacing w:line="360" w:lineRule="auto"/>
        <w:ind w:firstLineChars="200" w:firstLine="480"/>
        <w:jc w:val="both"/>
        <w:rPr>
          <w:noProof/>
          <w:kern w:val="0"/>
          <w:sz w:val="24"/>
        </w:rPr>
      </w:pPr>
      <w:r w:rsidRPr="008D47BA">
        <w:rPr>
          <w:rFonts w:hint="eastAsia"/>
          <w:noProof/>
          <w:kern w:val="0"/>
          <w:sz w:val="24"/>
        </w:rPr>
        <w:lastRenderedPageBreak/>
        <w:t>在阴性对照数据与文献报道及本实验室的历史对照数据（如有）一致，阳性对照与文献报道或本实验室的历史对照数据一致（如有）且较阴性对照</w:t>
      </w:r>
      <w:r w:rsidRPr="00FC79E7">
        <w:rPr>
          <w:rFonts w:hint="eastAsia"/>
          <w:noProof/>
          <w:kern w:val="0"/>
          <w:sz w:val="24"/>
        </w:rPr>
        <w:t>染色体结构畸变率</w:t>
      </w:r>
      <w:r w:rsidRPr="008D47BA">
        <w:rPr>
          <w:rFonts w:hint="eastAsia"/>
          <w:noProof/>
          <w:kern w:val="0"/>
          <w:sz w:val="24"/>
        </w:rPr>
        <w:t>显著</w:t>
      </w:r>
      <w:r>
        <w:rPr>
          <w:rFonts w:hint="eastAsia"/>
          <w:noProof/>
          <w:kern w:val="0"/>
          <w:sz w:val="24"/>
        </w:rPr>
        <w:t>升高</w:t>
      </w:r>
      <w:r w:rsidRPr="008D47BA">
        <w:rPr>
          <w:rFonts w:hint="eastAsia"/>
          <w:noProof/>
          <w:kern w:val="0"/>
          <w:sz w:val="24"/>
        </w:rPr>
        <w:t>前提</w:t>
      </w:r>
      <w:r w:rsidRPr="00D854FE">
        <w:rPr>
          <w:rFonts w:hint="eastAsia"/>
          <w:noProof/>
          <w:kern w:val="0"/>
          <w:sz w:val="24"/>
        </w:rPr>
        <w:t>下，</w:t>
      </w:r>
      <w:r w:rsidRPr="00767EFE">
        <w:rPr>
          <w:rFonts w:hint="eastAsia"/>
          <w:noProof/>
          <w:kern w:val="0"/>
          <w:sz w:val="24"/>
        </w:rPr>
        <w:t>若同时满足以下情况可判定为阳性结果，若均不满足则判定为阴性结果：</w:t>
      </w:r>
    </w:p>
    <w:p w:rsidR="00274F73" w:rsidRPr="00767EFE" w:rsidRDefault="00274F73" w:rsidP="00274F73">
      <w:pPr>
        <w:adjustRightInd w:val="0"/>
        <w:snapToGrid w:val="0"/>
        <w:spacing w:line="360" w:lineRule="auto"/>
        <w:ind w:firstLineChars="200" w:firstLine="480"/>
        <w:jc w:val="both"/>
        <w:rPr>
          <w:noProof/>
          <w:kern w:val="0"/>
          <w:sz w:val="24"/>
        </w:rPr>
      </w:pPr>
      <w:r w:rsidRPr="00767EFE">
        <w:rPr>
          <w:rFonts w:hint="eastAsia"/>
          <w:noProof/>
          <w:kern w:val="0"/>
          <w:sz w:val="24"/>
        </w:rPr>
        <w:t>（</w:t>
      </w:r>
      <w:r w:rsidRPr="00767EFE">
        <w:rPr>
          <w:noProof/>
          <w:kern w:val="0"/>
          <w:sz w:val="24"/>
        </w:rPr>
        <w:t>1</w:t>
      </w:r>
      <w:r w:rsidRPr="00767EFE">
        <w:rPr>
          <w:rFonts w:hint="eastAsia"/>
          <w:noProof/>
          <w:kern w:val="0"/>
          <w:sz w:val="24"/>
        </w:rPr>
        <w:t>）与阴性对照相比，</w:t>
      </w:r>
      <w:r w:rsidR="00E810F3">
        <w:rPr>
          <w:rFonts w:hint="eastAsia"/>
          <w:noProof/>
          <w:kern w:val="0"/>
          <w:sz w:val="24"/>
        </w:rPr>
        <w:t>受试物</w:t>
      </w:r>
      <w:r w:rsidRPr="00767EFE">
        <w:rPr>
          <w:rFonts w:hint="eastAsia"/>
          <w:noProof/>
          <w:kern w:val="0"/>
          <w:sz w:val="24"/>
        </w:rPr>
        <w:t>至少一个剂量组染色体结构畸变率显著升高；</w:t>
      </w:r>
    </w:p>
    <w:p w:rsidR="00274F73" w:rsidRPr="00767EFE" w:rsidRDefault="00274F73" w:rsidP="00274F73">
      <w:pPr>
        <w:adjustRightInd w:val="0"/>
        <w:snapToGrid w:val="0"/>
        <w:spacing w:line="360" w:lineRule="auto"/>
        <w:ind w:firstLineChars="200" w:firstLine="480"/>
        <w:jc w:val="both"/>
        <w:rPr>
          <w:noProof/>
          <w:kern w:val="0"/>
          <w:sz w:val="24"/>
        </w:rPr>
      </w:pPr>
      <w:r w:rsidRPr="00767EFE">
        <w:rPr>
          <w:rFonts w:hint="eastAsia"/>
          <w:noProof/>
          <w:kern w:val="0"/>
          <w:sz w:val="24"/>
        </w:rPr>
        <w:t>（</w:t>
      </w:r>
      <w:r w:rsidRPr="00767EFE">
        <w:rPr>
          <w:noProof/>
          <w:kern w:val="0"/>
          <w:sz w:val="24"/>
        </w:rPr>
        <w:t>2</w:t>
      </w:r>
      <w:r w:rsidRPr="00767EFE">
        <w:rPr>
          <w:rFonts w:hint="eastAsia"/>
          <w:noProof/>
          <w:kern w:val="0"/>
          <w:sz w:val="24"/>
        </w:rPr>
        <w:t>）该增加在至少一个采样点具有剂量依赖性；</w:t>
      </w:r>
    </w:p>
    <w:p w:rsidR="00E70439" w:rsidRPr="005740E6" w:rsidRDefault="00274F73" w:rsidP="00274F73">
      <w:pPr>
        <w:adjustRightInd w:val="0"/>
        <w:snapToGrid w:val="0"/>
        <w:spacing w:line="360" w:lineRule="auto"/>
        <w:ind w:firstLineChars="200" w:firstLine="480"/>
        <w:jc w:val="both"/>
        <w:rPr>
          <w:noProof/>
          <w:kern w:val="0"/>
          <w:sz w:val="24"/>
        </w:rPr>
      </w:pPr>
      <w:r w:rsidRPr="00767EFE">
        <w:rPr>
          <w:rFonts w:hint="eastAsia"/>
          <w:noProof/>
          <w:kern w:val="0"/>
          <w:sz w:val="24"/>
        </w:rPr>
        <w:t>（</w:t>
      </w:r>
      <w:r w:rsidRPr="00767EFE">
        <w:rPr>
          <w:noProof/>
          <w:kern w:val="0"/>
          <w:sz w:val="24"/>
        </w:rPr>
        <w:t>3</w:t>
      </w:r>
      <w:r w:rsidRPr="00767EFE">
        <w:rPr>
          <w:rFonts w:hint="eastAsia"/>
          <w:noProof/>
          <w:kern w:val="0"/>
          <w:sz w:val="24"/>
        </w:rPr>
        <w:t>）</w:t>
      </w:r>
      <w:r w:rsidR="00E810F3">
        <w:rPr>
          <w:rFonts w:hint="eastAsia"/>
          <w:noProof/>
          <w:kern w:val="0"/>
          <w:sz w:val="24"/>
        </w:rPr>
        <w:t>受试物</w:t>
      </w:r>
      <w:r w:rsidRPr="00767EFE">
        <w:rPr>
          <w:rFonts w:hint="eastAsia"/>
          <w:noProof/>
          <w:kern w:val="0"/>
          <w:sz w:val="24"/>
        </w:rPr>
        <w:t>组染色体结构畸变率在文献报道及本实验室的阴性对照数据范围之外</w:t>
      </w:r>
      <w:r w:rsidR="00E70439" w:rsidRPr="00D854FE">
        <w:rPr>
          <w:rFonts w:hint="eastAsia"/>
          <w:noProof/>
          <w:kern w:val="0"/>
          <w:sz w:val="24"/>
        </w:rPr>
        <w:t>。</w:t>
      </w:r>
    </w:p>
    <w:p w:rsidR="00E70439" w:rsidRPr="00B517A7" w:rsidRDefault="00E70439" w:rsidP="00E70439">
      <w:pPr>
        <w:adjustRightInd w:val="0"/>
        <w:snapToGrid w:val="0"/>
        <w:spacing w:line="360" w:lineRule="auto"/>
        <w:ind w:firstLineChars="200" w:firstLine="480"/>
        <w:jc w:val="both"/>
        <w:rPr>
          <w:noProof/>
          <w:kern w:val="0"/>
          <w:sz w:val="24"/>
        </w:rPr>
      </w:pPr>
      <w:r w:rsidRPr="008D47BA">
        <w:rPr>
          <w:rFonts w:hint="eastAsia"/>
          <w:noProof/>
          <w:kern w:val="0"/>
          <w:sz w:val="24"/>
        </w:rPr>
        <w:t>明显的阳性或阴性结果通常不需要重复试验。如果结果不是明显的阳性或阴性，需要分析更多的细胞或者改变试验条件进行重复试验。</w:t>
      </w:r>
    </w:p>
    <w:p w:rsidR="00E70439" w:rsidRPr="005740E6" w:rsidRDefault="000E705E" w:rsidP="00E70439">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四</w:t>
      </w:r>
      <w:r w:rsidR="00E70439" w:rsidRPr="005740E6">
        <w:rPr>
          <w:rFonts w:ascii="黑体" w:eastAsia="黑体" w:hAnsi="黑体" w:hint="eastAsia"/>
          <w:sz w:val="28"/>
          <w:szCs w:val="28"/>
        </w:rPr>
        <w:t>、试验报告</w:t>
      </w:r>
    </w:p>
    <w:p w:rsidR="003476BF" w:rsidRPr="005D636A" w:rsidRDefault="005D636A" w:rsidP="003476BF">
      <w:pPr>
        <w:adjustRightInd w:val="0"/>
        <w:snapToGrid w:val="0"/>
        <w:spacing w:line="360" w:lineRule="auto"/>
        <w:ind w:firstLineChars="200" w:firstLine="480"/>
        <w:jc w:val="both"/>
        <w:rPr>
          <w:rFonts w:eastAsiaTheme="minorEastAsia"/>
          <w:sz w:val="24"/>
        </w:rPr>
      </w:pPr>
      <w:r w:rsidRPr="000500D4">
        <w:rPr>
          <w:sz w:val="24"/>
        </w:rPr>
        <w:t>按照兽药</w:t>
      </w:r>
      <w:r w:rsidRPr="000500D4">
        <w:rPr>
          <w:sz w:val="24"/>
        </w:rPr>
        <w:t>GLP</w:t>
      </w:r>
      <w:r w:rsidRPr="000500D4">
        <w:rPr>
          <w:sz w:val="24"/>
        </w:rPr>
        <w:t>要求撰写试验报</w:t>
      </w:r>
      <w:r w:rsidRPr="00767EFE">
        <w:rPr>
          <w:rFonts w:ascii="宋体" w:hAnsi="宋体" w:hint="eastAsia"/>
          <w:sz w:val="24"/>
        </w:rPr>
        <w:t>告</w:t>
      </w:r>
      <w:r w:rsidR="003476BF" w:rsidRPr="00767EFE">
        <w:rPr>
          <w:rFonts w:ascii="宋体" w:hAnsi="宋体" w:hint="eastAsia"/>
          <w:sz w:val="24"/>
        </w:rPr>
        <w:t>。</w:t>
      </w:r>
    </w:p>
    <w:p w:rsidR="00E70439" w:rsidRPr="005740E6" w:rsidRDefault="000E705E" w:rsidP="000E705E">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五</w:t>
      </w:r>
      <w:r w:rsidR="003476BF" w:rsidRPr="00767EFE">
        <w:rPr>
          <w:rFonts w:ascii="黑体" w:eastAsia="黑体" w:hAnsi="黑体" w:hint="eastAsia"/>
          <w:sz w:val="28"/>
          <w:szCs w:val="28"/>
        </w:rPr>
        <w:t>、</w:t>
      </w:r>
      <w:r w:rsidR="00E70439" w:rsidRPr="005740E6">
        <w:rPr>
          <w:rFonts w:ascii="黑体" w:eastAsia="黑体" w:hAnsi="黑体" w:hint="eastAsia"/>
          <w:sz w:val="28"/>
          <w:szCs w:val="28"/>
        </w:rPr>
        <w:t>附录</w:t>
      </w:r>
    </w:p>
    <w:p w:rsidR="00E70439" w:rsidRPr="005740E6" w:rsidRDefault="00E70439" w:rsidP="00E70439">
      <w:pPr>
        <w:adjustRightInd w:val="0"/>
        <w:snapToGrid w:val="0"/>
        <w:spacing w:line="360" w:lineRule="auto"/>
        <w:ind w:firstLineChars="200" w:firstLine="480"/>
        <w:jc w:val="both"/>
        <w:rPr>
          <w:rFonts w:ascii="黑体" w:eastAsia="黑体" w:hAnsi="黑体" w:hint="eastAsia"/>
        </w:rPr>
      </w:pPr>
      <w:bookmarkStart w:id="5" w:name="_Hlk182844117"/>
      <w:r w:rsidRPr="005740E6">
        <w:rPr>
          <w:rFonts w:ascii="黑体" w:eastAsia="黑体" w:hAnsi="黑体" w:hint="eastAsia"/>
          <w:sz w:val="24"/>
        </w:rPr>
        <w:t>染色体结构异常和数目异常种类及特征描述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334"/>
        <w:gridCol w:w="1168"/>
        <w:gridCol w:w="4052"/>
      </w:tblGrid>
      <w:tr w:rsidR="00E70439" w:rsidRPr="002B3446" w:rsidTr="001204DD">
        <w:trPr>
          <w:trHeight w:val="200"/>
          <w:jc w:val="center"/>
        </w:trPr>
        <w:tc>
          <w:tcPr>
            <w:tcW w:w="1854" w:type="pct"/>
            <w:gridSpan w:val="2"/>
            <w:vAlign w:val="center"/>
          </w:tcPr>
          <w:bookmarkEnd w:id="5"/>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染色体数目异常</w:t>
            </w:r>
          </w:p>
        </w:tc>
        <w:tc>
          <w:tcPr>
            <w:tcW w:w="3146" w:type="pct"/>
            <w:gridSpan w:val="2"/>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染色体结构异常</w:t>
            </w:r>
          </w:p>
        </w:tc>
      </w:tr>
      <w:tr w:rsidR="00E70439" w:rsidRPr="002B3446" w:rsidTr="001204DD">
        <w:trPr>
          <w:trHeight w:val="155"/>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种类</w:t>
            </w:r>
          </w:p>
        </w:tc>
        <w:tc>
          <w:tcPr>
            <w:tcW w:w="1407"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特征描述</w:t>
            </w: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种类</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特征描述</w:t>
            </w:r>
          </w:p>
        </w:tc>
      </w:tr>
      <w:tr w:rsidR="00E70439" w:rsidRPr="002B3446" w:rsidTr="001204DD">
        <w:trPr>
          <w:trHeight w:val="285"/>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多倍体</w:t>
            </w:r>
          </w:p>
        </w:tc>
        <w:tc>
          <w:tcPr>
            <w:tcW w:w="1407" w:type="pct"/>
            <w:vAlign w:val="center"/>
          </w:tcPr>
          <w:p w:rsidR="00E70439" w:rsidRPr="002B3446" w:rsidRDefault="00E70439" w:rsidP="001204DD">
            <w:pPr>
              <w:adjustRightInd w:val="0"/>
              <w:snapToGrid w:val="0"/>
              <w:spacing w:line="360" w:lineRule="auto"/>
              <w:jc w:val="center"/>
              <w:rPr>
                <w:szCs w:val="21"/>
              </w:rPr>
            </w:pPr>
            <w:r w:rsidRPr="002B3446">
              <w:rPr>
                <w:rFonts w:hAnsi="宋体"/>
                <w:szCs w:val="21"/>
              </w:rPr>
              <w:t>染色体超过二倍体的整倍性改变，如三倍体和四倍体</w:t>
            </w: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断裂</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染色体或染色单体上存在的狭窄非染色区域，其宽度大于染色单体的宽度</w:t>
            </w:r>
          </w:p>
        </w:tc>
      </w:tr>
      <w:tr w:rsidR="00E70439" w:rsidRPr="002B3446" w:rsidTr="001204DD">
        <w:trPr>
          <w:trHeight w:val="285"/>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非整倍体</w:t>
            </w:r>
          </w:p>
        </w:tc>
        <w:tc>
          <w:tcPr>
            <w:tcW w:w="1407" w:type="pct"/>
            <w:vAlign w:val="center"/>
          </w:tcPr>
          <w:p w:rsidR="00E70439" w:rsidRPr="002B3446" w:rsidRDefault="00E70439" w:rsidP="001204DD">
            <w:pPr>
              <w:adjustRightInd w:val="0"/>
              <w:snapToGrid w:val="0"/>
              <w:spacing w:line="360" w:lineRule="auto"/>
              <w:jc w:val="center"/>
              <w:rPr>
                <w:szCs w:val="21"/>
              </w:rPr>
            </w:pPr>
            <w:r w:rsidRPr="002B3446">
              <w:rPr>
                <w:rFonts w:hAnsi="宋体"/>
                <w:szCs w:val="21"/>
              </w:rPr>
              <w:t>染色体非整倍性改变，丢失或增加一条或多条染色体</w:t>
            </w: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裂隙</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染色体或染色单体上存在的狭窄非染色区域，其宽度小于染色单体的宽度</w:t>
            </w:r>
          </w:p>
        </w:tc>
      </w:tr>
      <w:tr w:rsidR="00E70439" w:rsidRPr="002B3446" w:rsidTr="001204DD">
        <w:trPr>
          <w:trHeight w:val="275"/>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内复制</w:t>
            </w:r>
          </w:p>
        </w:tc>
        <w:tc>
          <w:tcPr>
            <w:tcW w:w="1407" w:type="pct"/>
            <w:vAlign w:val="center"/>
          </w:tcPr>
          <w:p w:rsidR="00E70439" w:rsidRPr="002B3446" w:rsidRDefault="00E70439" w:rsidP="001204DD">
            <w:pPr>
              <w:adjustRightInd w:val="0"/>
              <w:snapToGrid w:val="0"/>
              <w:spacing w:line="360" w:lineRule="auto"/>
              <w:jc w:val="center"/>
              <w:rPr>
                <w:szCs w:val="21"/>
              </w:rPr>
            </w:pPr>
            <w:r w:rsidRPr="002B3446">
              <w:rPr>
                <w:rFonts w:hAnsi="宋体"/>
                <w:szCs w:val="21"/>
              </w:rPr>
              <w:t>包膜内特殊形式的多倍化现象</w:t>
            </w: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微小体</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由染色体臂内断裂形成的微小断片，成圆点状</w:t>
            </w:r>
          </w:p>
        </w:tc>
      </w:tr>
      <w:tr w:rsidR="00E70439" w:rsidRPr="002B3446" w:rsidTr="001204DD">
        <w:trPr>
          <w:trHeight w:val="223"/>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p>
        </w:tc>
        <w:tc>
          <w:tcPr>
            <w:tcW w:w="1407" w:type="pct"/>
            <w:vAlign w:val="center"/>
          </w:tcPr>
          <w:p w:rsidR="00E70439" w:rsidRPr="002B3446" w:rsidRDefault="00E70439" w:rsidP="001204DD">
            <w:pPr>
              <w:adjustRightInd w:val="0"/>
              <w:snapToGrid w:val="0"/>
              <w:spacing w:line="360" w:lineRule="auto"/>
              <w:jc w:val="center"/>
              <w:rPr>
                <w:szCs w:val="21"/>
              </w:rPr>
            </w:pP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着丝粒环</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染色体臂断裂后，由带着丝粒节段两端连接而成的环，常伴有一对无着丝粒断片</w:t>
            </w:r>
          </w:p>
        </w:tc>
      </w:tr>
      <w:tr w:rsidR="00E70439" w:rsidRPr="002B3446" w:rsidTr="001204DD">
        <w:trPr>
          <w:trHeight w:val="293"/>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p>
        </w:tc>
        <w:tc>
          <w:tcPr>
            <w:tcW w:w="1407" w:type="pct"/>
            <w:vAlign w:val="center"/>
          </w:tcPr>
          <w:p w:rsidR="00E70439" w:rsidRPr="002B3446" w:rsidRDefault="00E70439" w:rsidP="001204DD">
            <w:pPr>
              <w:pStyle w:val="1"/>
              <w:snapToGrid w:val="0"/>
              <w:spacing w:line="360" w:lineRule="auto"/>
              <w:jc w:val="center"/>
              <w:rPr>
                <w:rFonts w:ascii="Times New Roman"/>
                <w:szCs w:val="21"/>
              </w:rPr>
            </w:pP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无着丝粒环</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染色体臂断裂后，由无着丝粒节段的断片连接而成的环</w:t>
            </w:r>
          </w:p>
        </w:tc>
      </w:tr>
      <w:tr w:rsidR="00E70439" w:rsidRPr="002B3446" w:rsidTr="001204DD">
        <w:trPr>
          <w:trHeight w:val="285"/>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p>
        </w:tc>
        <w:tc>
          <w:tcPr>
            <w:tcW w:w="1407" w:type="pct"/>
            <w:vAlign w:val="center"/>
          </w:tcPr>
          <w:p w:rsidR="00E70439" w:rsidRPr="002B3446" w:rsidRDefault="00E70439" w:rsidP="001204DD">
            <w:pPr>
              <w:pStyle w:val="1"/>
              <w:snapToGrid w:val="0"/>
              <w:spacing w:line="360" w:lineRule="auto"/>
              <w:jc w:val="center"/>
              <w:rPr>
                <w:rFonts w:ascii="Times New Roman"/>
                <w:szCs w:val="21"/>
              </w:rPr>
            </w:pP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单体互换</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可形成三</w:t>
            </w:r>
            <w:proofErr w:type="gramStart"/>
            <w:r w:rsidRPr="002B3446">
              <w:rPr>
                <w:rFonts w:ascii="Times New Roman" w:hAnsi="宋体"/>
                <w:szCs w:val="21"/>
              </w:rPr>
              <w:t>辐</w:t>
            </w:r>
            <w:proofErr w:type="gramEnd"/>
            <w:r w:rsidRPr="002B3446">
              <w:rPr>
                <w:rFonts w:ascii="Times New Roman" w:hAnsi="宋体"/>
                <w:szCs w:val="21"/>
              </w:rPr>
              <w:t>体（三条臂构型）、四</w:t>
            </w:r>
            <w:proofErr w:type="gramStart"/>
            <w:r w:rsidRPr="002B3446">
              <w:rPr>
                <w:rFonts w:ascii="Times New Roman" w:hAnsi="宋体"/>
                <w:szCs w:val="21"/>
              </w:rPr>
              <w:t>辐</w:t>
            </w:r>
            <w:proofErr w:type="gramEnd"/>
            <w:r w:rsidRPr="002B3446">
              <w:rPr>
                <w:rFonts w:ascii="Times New Roman" w:hAnsi="宋体"/>
                <w:szCs w:val="21"/>
              </w:rPr>
              <w:t>体（四条臂构型）或其它形状的构型</w:t>
            </w:r>
          </w:p>
        </w:tc>
      </w:tr>
      <w:tr w:rsidR="00E70439" w:rsidRPr="002B3446" w:rsidTr="001204DD">
        <w:trPr>
          <w:trHeight w:val="263"/>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p>
        </w:tc>
        <w:tc>
          <w:tcPr>
            <w:tcW w:w="1407" w:type="pct"/>
            <w:vAlign w:val="center"/>
          </w:tcPr>
          <w:p w:rsidR="00E70439" w:rsidRPr="002B3446" w:rsidRDefault="00E70439" w:rsidP="001204DD">
            <w:pPr>
              <w:pStyle w:val="1"/>
              <w:snapToGrid w:val="0"/>
              <w:spacing w:line="360" w:lineRule="auto"/>
              <w:jc w:val="center"/>
              <w:rPr>
                <w:rFonts w:ascii="Times New Roman"/>
                <w:szCs w:val="21"/>
              </w:rPr>
            </w:pP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双微小体</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成对的染色质小体</w:t>
            </w:r>
          </w:p>
        </w:tc>
      </w:tr>
      <w:tr w:rsidR="00E70439" w:rsidRPr="002B3446" w:rsidTr="001204DD">
        <w:trPr>
          <w:trHeight w:val="309"/>
          <w:jc w:val="center"/>
        </w:trPr>
        <w:tc>
          <w:tcPr>
            <w:tcW w:w="447" w:type="pct"/>
            <w:vAlign w:val="center"/>
          </w:tcPr>
          <w:p w:rsidR="00E70439" w:rsidRPr="002B3446" w:rsidRDefault="00E70439" w:rsidP="001204DD">
            <w:pPr>
              <w:pStyle w:val="1"/>
              <w:snapToGrid w:val="0"/>
              <w:spacing w:line="360" w:lineRule="auto"/>
              <w:jc w:val="center"/>
              <w:rPr>
                <w:rFonts w:ascii="Times New Roman"/>
                <w:szCs w:val="21"/>
              </w:rPr>
            </w:pPr>
          </w:p>
        </w:tc>
        <w:tc>
          <w:tcPr>
            <w:tcW w:w="1407" w:type="pct"/>
            <w:vAlign w:val="center"/>
          </w:tcPr>
          <w:p w:rsidR="00E70439" w:rsidRPr="002B3446" w:rsidRDefault="00E70439" w:rsidP="001204DD">
            <w:pPr>
              <w:pStyle w:val="1"/>
              <w:snapToGrid w:val="0"/>
              <w:spacing w:line="360" w:lineRule="auto"/>
              <w:jc w:val="center"/>
              <w:rPr>
                <w:rFonts w:ascii="Times New Roman"/>
                <w:szCs w:val="21"/>
              </w:rPr>
            </w:pPr>
          </w:p>
        </w:tc>
        <w:tc>
          <w:tcPr>
            <w:tcW w:w="704"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非特定性型变化</w:t>
            </w:r>
          </w:p>
        </w:tc>
        <w:tc>
          <w:tcPr>
            <w:tcW w:w="2442" w:type="pct"/>
            <w:vAlign w:val="center"/>
          </w:tcPr>
          <w:p w:rsidR="00E70439" w:rsidRPr="002B3446" w:rsidRDefault="00E70439" w:rsidP="001204DD">
            <w:pPr>
              <w:pStyle w:val="1"/>
              <w:snapToGrid w:val="0"/>
              <w:spacing w:line="360" w:lineRule="auto"/>
              <w:jc w:val="center"/>
              <w:rPr>
                <w:rFonts w:ascii="Times New Roman"/>
                <w:szCs w:val="21"/>
              </w:rPr>
            </w:pPr>
            <w:r w:rsidRPr="002B3446">
              <w:rPr>
                <w:rFonts w:ascii="Times New Roman" w:hAnsi="宋体"/>
                <w:szCs w:val="21"/>
              </w:rPr>
              <w:t>如粉碎化</w:t>
            </w:r>
            <w:proofErr w:type="gramStart"/>
            <w:r w:rsidRPr="002B3446">
              <w:rPr>
                <w:rFonts w:ascii="Times New Roman" w:hAnsi="宋体"/>
                <w:szCs w:val="21"/>
              </w:rPr>
              <w:t>、着</w:t>
            </w:r>
            <w:proofErr w:type="gramEnd"/>
            <w:r w:rsidRPr="002B3446">
              <w:rPr>
                <w:rFonts w:ascii="Times New Roman" w:hAnsi="宋体"/>
                <w:szCs w:val="21"/>
              </w:rPr>
              <w:t>丝点细长化、粘着等</w:t>
            </w:r>
          </w:p>
        </w:tc>
      </w:tr>
    </w:tbl>
    <w:p w:rsidR="00E70439" w:rsidRPr="005740E6" w:rsidRDefault="000E705E" w:rsidP="00E70439">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六</w:t>
      </w:r>
      <w:r w:rsidR="00EE602F">
        <w:rPr>
          <w:rFonts w:ascii="黑体" w:eastAsia="黑体" w:hAnsi="黑体"/>
          <w:sz w:val="28"/>
          <w:szCs w:val="28"/>
        </w:rPr>
        <w:t>、</w:t>
      </w:r>
      <w:r w:rsidR="00E70439" w:rsidRPr="005740E6">
        <w:rPr>
          <w:rFonts w:ascii="黑体" w:eastAsia="黑体" w:hAnsi="黑体" w:hint="eastAsia"/>
          <w:sz w:val="28"/>
          <w:szCs w:val="28"/>
        </w:rPr>
        <w:t>术语</w:t>
      </w:r>
    </w:p>
    <w:p w:rsidR="00E70439" w:rsidRPr="00B517A7" w:rsidRDefault="00E70439" w:rsidP="00E70439">
      <w:pPr>
        <w:adjustRightInd w:val="0"/>
        <w:snapToGrid w:val="0"/>
        <w:spacing w:line="360" w:lineRule="auto"/>
        <w:ind w:firstLineChars="200" w:firstLine="480"/>
        <w:jc w:val="both"/>
        <w:rPr>
          <w:sz w:val="24"/>
        </w:rPr>
      </w:pPr>
      <w:r w:rsidRPr="008D47BA">
        <w:rPr>
          <w:rFonts w:hint="eastAsia"/>
          <w:sz w:val="24"/>
        </w:rPr>
        <w:t>精原细胞（</w:t>
      </w:r>
      <w:r w:rsidRPr="008D47BA">
        <w:rPr>
          <w:sz w:val="24"/>
        </w:rPr>
        <w:t>Spermatogonium</w:t>
      </w:r>
      <w:r w:rsidRPr="008D47BA">
        <w:rPr>
          <w:rFonts w:hint="eastAsia"/>
          <w:sz w:val="24"/>
        </w:rPr>
        <w:t>）：雄性哺乳动物曲细精管上皮中能经过多次有丝分裂增殖并经减数分裂产生精母细胞的干细胞，为原始的雄性生殖细胞。具有与体细胞相同的染色体数目。</w:t>
      </w:r>
    </w:p>
    <w:p w:rsidR="00E70439" w:rsidRPr="00B517A7" w:rsidRDefault="00E70439" w:rsidP="00E70439">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染色体型畸变（</w:t>
      </w:r>
      <w:r w:rsidRPr="008D47BA">
        <w:rPr>
          <w:color w:val="000000"/>
          <w:spacing w:val="-3"/>
          <w:kern w:val="0"/>
          <w:sz w:val="24"/>
          <w:lang w:val="x-none"/>
        </w:rPr>
        <w:t>Chromosome-type aberration</w:t>
      </w:r>
      <w:r w:rsidRPr="008D47BA">
        <w:rPr>
          <w:rFonts w:hint="eastAsia"/>
          <w:color w:val="000000"/>
          <w:spacing w:val="-3"/>
          <w:kern w:val="0"/>
          <w:sz w:val="24"/>
          <w:lang w:val="x-none"/>
        </w:rPr>
        <w:t>）：染色体结构损伤，表现为在两个染色单体的相同位点均出现断裂或断裂重组的改变。</w:t>
      </w:r>
    </w:p>
    <w:p w:rsidR="00E70439" w:rsidRPr="00B517A7" w:rsidRDefault="00E70439" w:rsidP="00E70439">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染色单体型畸变（</w:t>
      </w:r>
      <w:r w:rsidRPr="008D47BA">
        <w:rPr>
          <w:color w:val="000000"/>
          <w:spacing w:val="-3"/>
          <w:kern w:val="0"/>
          <w:sz w:val="24"/>
          <w:lang w:val="x-none"/>
        </w:rPr>
        <w:t>Chromatid-type aberration</w:t>
      </w:r>
      <w:r w:rsidRPr="008D47BA">
        <w:rPr>
          <w:rFonts w:hint="eastAsia"/>
          <w:color w:val="000000"/>
          <w:spacing w:val="-3"/>
          <w:kern w:val="0"/>
          <w:sz w:val="24"/>
          <w:lang w:val="x-none"/>
        </w:rPr>
        <w:t>）：染色体结构损伤，表现为染色单体断裂或染色单体断裂重组的损伤。</w:t>
      </w:r>
    </w:p>
    <w:p w:rsidR="00E70439" w:rsidRPr="00B517A7" w:rsidRDefault="00E70439" w:rsidP="00E70439">
      <w:pPr>
        <w:adjustRightInd w:val="0"/>
        <w:snapToGrid w:val="0"/>
        <w:spacing w:line="360" w:lineRule="auto"/>
        <w:ind w:firstLineChars="200" w:firstLine="468"/>
        <w:jc w:val="both"/>
        <w:rPr>
          <w:sz w:val="24"/>
        </w:rPr>
      </w:pPr>
      <w:r w:rsidRPr="008D47BA">
        <w:rPr>
          <w:rFonts w:hint="eastAsia"/>
          <w:color w:val="000000"/>
          <w:spacing w:val="-3"/>
          <w:kern w:val="0"/>
          <w:sz w:val="24"/>
          <w:lang w:val="x-none"/>
        </w:rPr>
        <w:t>染色体数目畸变（</w:t>
      </w:r>
      <w:r w:rsidRPr="008D47BA">
        <w:rPr>
          <w:color w:val="000000"/>
          <w:spacing w:val="-3"/>
          <w:kern w:val="0"/>
          <w:sz w:val="24"/>
          <w:lang w:val="x-none"/>
        </w:rPr>
        <w:t>Numerical-type aberration</w:t>
      </w:r>
      <w:r w:rsidRPr="008D47BA">
        <w:rPr>
          <w:rFonts w:hint="eastAsia"/>
          <w:color w:val="000000"/>
          <w:spacing w:val="-3"/>
          <w:kern w:val="0"/>
          <w:sz w:val="24"/>
          <w:lang w:val="x-none"/>
        </w:rPr>
        <w:t>）：哺乳动物细胞染色体数目的改变</w:t>
      </w:r>
      <w:r w:rsidRPr="008D47BA">
        <w:rPr>
          <w:rFonts w:hint="eastAsia"/>
          <w:sz w:val="24"/>
        </w:rPr>
        <w:t>。</w:t>
      </w:r>
    </w:p>
    <w:p w:rsidR="00E70439" w:rsidRPr="005740E6" w:rsidRDefault="00E70439" w:rsidP="00E70439">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着丝粒（</w:t>
      </w:r>
      <w:r w:rsidRPr="00B517A7">
        <w:rPr>
          <w:color w:val="000000"/>
          <w:spacing w:val="-3"/>
          <w:kern w:val="0"/>
          <w:sz w:val="24"/>
          <w:lang w:val="x-none"/>
        </w:rPr>
        <w:t>Centromere/kinetochore</w:t>
      </w:r>
      <w:r w:rsidRPr="008D47BA">
        <w:rPr>
          <w:rFonts w:hint="eastAsia"/>
          <w:color w:val="000000"/>
          <w:spacing w:val="-3"/>
          <w:kern w:val="0"/>
          <w:sz w:val="24"/>
          <w:lang w:val="x-none"/>
        </w:rPr>
        <w:t>）：在细胞分裂期染色体与纺锤体纤维连接的区域，以使子染色体有序移动到子细胞两极。</w:t>
      </w:r>
    </w:p>
    <w:p w:rsidR="00E70439" w:rsidRPr="005740E6" w:rsidRDefault="00046A6C" w:rsidP="00E70439">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七</w:t>
      </w:r>
      <w:r w:rsidR="00EE602F">
        <w:rPr>
          <w:rFonts w:ascii="黑体" w:eastAsia="黑体" w:hAnsi="黑体"/>
          <w:sz w:val="28"/>
          <w:szCs w:val="28"/>
        </w:rPr>
        <w:t>、</w:t>
      </w:r>
      <w:r w:rsidR="00E70439" w:rsidRPr="005740E6">
        <w:rPr>
          <w:rFonts w:ascii="黑体" w:eastAsia="黑体" w:hAnsi="黑体" w:hint="eastAsia"/>
          <w:sz w:val="28"/>
          <w:szCs w:val="28"/>
        </w:rPr>
        <w:t>参考文献</w:t>
      </w:r>
    </w:p>
    <w:p w:rsidR="00E70439" w:rsidRPr="00B517A7" w:rsidRDefault="00E70439" w:rsidP="00E70439">
      <w:pPr>
        <w:adjustRightInd w:val="0"/>
        <w:snapToGrid w:val="0"/>
        <w:spacing w:line="360" w:lineRule="auto"/>
        <w:ind w:firstLineChars="200" w:firstLine="480"/>
        <w:jc w:val="both"/>
        <w:rPr>
          <w:kern w:val="0"/>
          <w:sz w:val="24"/>
        </w:rPr>
      </w:pPr>
      <w:r w:rsidRPr="00B517A7">
        <w:rPr>
          <w:kern w:val="0"/>
          <w:sz w:val="24"/>
        </w:rPr>
        <w:t xml:space="preserve">1. </w:t>
      </w:r>
      <w:r>
        <w:rPr>
          <w:rFonts w:hint="eastAsia"/>
          <w:kern w:val="0"/>
          <w:sz w:val="24"/>
        </w:rPr>
        <w:t>国家药品监督管理局药品审评中心</w:t>
      </w:r>
      <w:r w:rsidRPr="00B517A7">
        <w:rPr>
          <w:kern w:val="0"/>
          <w:sz w:val="24"/>
        </w:rPr>
        <w:t xml:space="preserve">. </w:t>
      </w:r>
      <w:r w:rsidRPr="008D47BA">
        <w:rPr>
          <w:rFonts w:hint="eastAsia"/>
          <w:kern w:val="0"/>
          <w:sz w:val="24"/>
        </w:rPr>
        <w:t>药物遗传毒性研究技术指导原则</w:t>
      </w:r>
      <w:r w:rsidRPr="00B517A7">
        <w:rPr>
          <w:kern w:val="0"/>
          <w:sz w:val="24"/>
        </w:rPr>
        <w:t>[S]. 2018.</w:t>
      </w:r>
    </w:p>
    <w:p w:rsidR="00E70439" w:rsidRPr="00B517A7" w:rsidRDefault="00E70439" w:rsidP="00E70439">
      <w:pPr>
        <w:adjustRightInd w:val="0"/>
        <w:snapToGrid w:val="0"/>
        <w:spacing w:line="360" w:lineRule="auto"/>
        <w:ind w:firstLineChars="200" w:firstLine="480"/>
        <w:jc w:val="both"/>
        <w:rPr>
          <w:sz w:val="24"/>
        </w:rPr>
      </w:pPr>
      <w:r w:rsidRPr="00B517A7">
        <w:rPr>
          <w:sz w:val="24"/>
        </w:rPr>
        <w:t>2. OECD. Guideline for the testing of chemicals No.</w:t>
      </w:r>
      <w:bookmarkStart w:id="6" w:name="_Hlk177738268"/>
      <w:r w:rsidRPr="00B517A7">
        <w:rPr>
          <w:sz w:val="24"/>
        </w:rPr>
        <w:t xml:space="preserve">483: Mammalian </w:t>
      </w:r>
      <w:proofErr w:type="spellStart"/>
      <w:r w:rsidRPr="008D47BA">
        <w:rPr>
          <w:sz w:val="24"/>
        </w:rPr>
        <w:t>s</w:t>
      </w:r>
      <w:r w:rsidRPr="00B517A7">
        <w:rPr>
          <w:sz w:val="24"/>
        </w:rPr>
        <w:t>permatogonial</w:t>
      </w:r>
      <w:proofErr w:type="spellEnd"/>
      <w:r w:rsidRPr="00B517A7">
        <w:rPr>
          <w:sz w:val="24"/>
        </w:rPr>
        <w:t xml:space="preserve"> </w:t>
      </w:r>
      <w:r w:rsidRPr="008D47BA">
        <w:rPr>
          <w:sz w:val="24"/>
        </w:rPr>
        <w:t>c</w:t>
      </w:r>
      <w:r w:rsidRPr="00B517A7">
        <w:rPr>
          <w:sz w:val="24"/>
        </w:rPr>
        <w:t xml:space="preserve">hromosomal </w:t>
      </w:r>
      <w:r w:rsidRPr="008D47BA">
        <w:rPr>
          <w:sz w:val="24"/>
        </w:rPr>
        <w:t>a</w:t>
      </w:r>
      <w:r w:rsidRPr="00B517A7">
        <w:rPr>
          <w:sz w:val="24"/>
        </w:rPr>
        <w:t xml:space="preserve">berration </w:t>
      </w:r>
      <w:r w:rsidRPr="008D47BA">
        <w:rPr>
          <w:sz w:val="24"/>
        </w:rPr>
        <w:t>t</w:t>
      </w:r>
      <w:r w:rsidRPr="00B517A7">
        <w:rPr>
          <w:sz w:val="24"/>
        </w:rPr>
        <w:t>est.</w:t>
      </w:r>
      <w:bookmarkEnd w:id="6"/>
      <w:r w:rsidRPr="00B517A7">
        <w:rPr>
          <w:sz w:val="24"/>
        </w:rPr>
        <w:t xml:space="preserve"> 2016.</w:t>
      </w:r>
    </w:p>
    <w:p w:rsidR="00E70439" w:rsidRPr="00B517A7" w:rsidRDefault="00E70439" w:rsidP="00E70439">
      <w:pPr>
        <w:adjustRightInd w:val="0"/>
        <w:snapToGrid w:val="0"/>
        <w:spacing w:line="360" w:lineRule="auto"/>
        <w:ind w:firstLineChars="200" w:firstLine="480"/>
        <w:jc w:val="both"/>
        <w:rPr>
          <w:sz w:val="24"/>
        </w:rPr>
      </w:pPr>
      <w:r w:rsidRPr="00B517A7">
        <w:rPr>
          <w:sz w:val="24"/>
        </w:rPr>
        <w:t xml:space="preserve">3. </w:t>
      </w:r>
      <w:bookmarkStart w:id="7" w:name="_Hlk177739426"/>
      <w:r w:rsidR="007532D9" w:rsidRPr="007532D9">
        <w:rPr>
          <w:rFonts w:hint="eastAsia"/>
          <w:sz w:val="24"/>
        </w:rPr>
        <w:t>中华人民共和国国家卫生健康委员会</w:t>
      </w:r>
      <w:r w:rsidRPr="00B517A7">
        <w:rPr>
          <w:sz w:val="24"/>
        </w:rPr>
        <w:t xml:space="preserve">. </w:t>
      </w:r>
      <w:bookmarkStart w:id="8" w:name="_Hlk182842476"/>
      <w:r w:rsidRPr="008D47BA">
        <w:rPr>
          <w:rFonts w:hint="eastAsia"/>
          <w:sz w:val="24"/>
        </w:rPr>
        <w:t>食品安全国家标准</w:t>
      </w:r>
      <w:r w:rsidRPr="00B517A7">
        <w:rPr>
          <w:sz w:val="24"/>
        </w:rPr>
        <w:t xml:space="preserve"> </w:t>
      </w:r>
      <w:r w:rsidRPr="008D47BA">
        <w:rPr>
          <w:rFonts w:hint="eastAsia"/>
          <w:sz w:val="24"/>
        </w:rPr>
        <w:t>小鼠精原细胞或精母细胞染色体畸变试验</w:t>
      </w:r>
      <w:r w:rsidRPr="00B517A7">
        <w:rPr>
          <w:sz w:val="24"/>
        </w:rPr>
        <w:t>: GB 15193.8-2014[S]. 2015</w:t>
      </w:r>
      <w:bookmarkEnd w:id="8"/>
      <w:r w:rsidRPr="00B517A7">
        <w:rPr>
          <w:sz w:val="24"/>
        </w:rPr>
        <w:t>.</w:t>
      </w:r>
      <w:bookmarkEnd w:id="7"/>
    </w:p>
    <w:p w:rsidR="00E70439" w:rsidRDefault="00E70439" w:rsidP="00E70439">
      <w:pPr>
        <w:adjustRightInd w:val="0"/>
        <w:snapToGrid w:val="0"/>
        <w:spacing w:line="360" w:lineRule="auto"/>
        <w:ind w:firstLineChars="200" w:firstLine="480"/>
        <w:jc w:val="both"/>
        <w:rPr>
          <w:sz w:val="24"/>
        </w:rPr>
      </w:pPr>
      <w:r w:rsidRPr="0011464D">
        <w:rPr>
          <w:sz w:val="24"/>
        </w:rPr>
        <w:t xml:space="preserve">5.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rsidR="00E70439" w:rsidRDefault="00E70439" w:rsidP="00E70439">
      <w:pPr>
        <w:adjustRightInd w:val="0"/>
        <w:snapToGrid w:val="0"/>
        <w:spacing w:line="360" w:lineRule="auto"/>
        <w:ind w:firstLineChars="200" w:firstLine="480"/>
        <w:jc w:val="both"/>
        <w:rPr>
          <w:sz w:val="24"/>
        </w:rPr>
      </w:pPr>
      <w:r>
        <w:rPr>
          <w:rFonts w:hint="eastAsia"/>
          <w:sz w:val="24"/>
        </w:rPr>
        <w:t>6</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p>
    <w:p w:rsidR="0053644F" w:rsidRDefault="0053644F"/>
    <w:sectPr w:rsidR="00536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338" w:rsidRDefault="00BC7338" w:rsidP="002C7E28">
      <w:r>
        <w:separator/>
      </w:r>
    </w:p>
  </w:endnote>
  <w:endnote w:type="continuationSeparator" w:id="0">
    <w:p w:rsidR="00BC7338" w:rsidRDefault="00BC7338" w:rsidP="002C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338" w:rsidRDefault="00BC7338" w:rsidP="002C7E28">
      <w:r>
        <w:separator/>
      </w:r>
    </w:p>
  </w:footnote>
  <w:footnote w:type="continuationSeparator" w:id="0">
    <w:p w:rsidR="00BC7338" w:rsidRDefault="00BC7338" w:rsidP="002C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39"/>
    <w:rsid w:val="00046A6C"/>
    <w:rsid w:val="0007286A"/>
    <w:rsid w:val="000E705E"/>
    <w:rsid w:val="000F14EF"/>
    <w:rsid w:val="000F26BB"/>
    <w:rsid w:val="000F6AED"/>
    <w:rsid w:val="00215F5D"/>
    <w:rsid w:val="00274F73"/>
    <w:rsid w:val="002C7E28"/>
    <w:rsid w:val="003476BF"/>
    <w:rsid w:val="0036474B"/>
    <w:rsid w:val="0039520D"/>
    <w:rsid w:val="003E7FD4"/>
    <w:rsid w:val="003F7270"/>
    <w:rsid w:val="00485105"/>
    <w:rsid w:val="004C0B86"/>
    <w:rsid w:val="0053644F"/>
    <w:rsid w:val="00576A07"/>
    <w:rsid w:val="005D636A"/>
    <w:rsid w:val="005E6333"/>
    <w:rsid w:val="005E72CA"/>
    <w:rsid w:val="006A4309"/>
    <w:rsid w:val="00717B30"/>
    <w:rsid w:val="007532D9"/>
    <w:rsid w:val="00767EFE"/>
    <w:rsid w:val="0077490B"/>
    <w:rsid w:val="008532C8"/>
    <w:rsid w:val="008E3D6D"/>
    <w:rsid w:val="00A4427E"/>
    <w:rsid w:val="00B80768"/>
    <w:rsid w:val="00BA04EB"/>
    <w:rsid w:val="00BC7338"/>
    <w:rsid w:val="00C00000"/>
    <w:rsid w:val="00D854FE"/>
    <w:rsid w:val="00D96E66"/>
    <w:rsid w:val="00E22A97"/>
    <w:rsid w:val="00E70439"/>
    <w:rsid w:val="00E810F3"/>
    <w:rsid w:val="00EE602F"/>
    <w:rsid w:val="00EF0973"/>
    <w:rsid w:val="00F4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2F070B-36E7-4060-A5AB-D66387E4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439"/>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rsid w:val="00E70439"/>
    <w:pPr>
      <w:widowControl w:val="0"/>
      <w:adjustRightInd w:val="0"/>
      <w:jc w:val="both"/>
    </w:pPr>
    <w:rPr>
      <w:rFonts w:ascii="宋体" w:hAnsi="Courier New"/>
      <w:szCs w:val="20"/>
    </w:rPr>
  </w:style>
  <w:style w:type="paragraph" w:styleId="a3">
    <w:name w:val="header"/>
    <w:basedOn w:val="a"/>
    <w:link w:val="a4"/>
    <w:uiPriority w:val="99"/>
    <w:unhideWhenUsed/>
    <w:rsid w:val="002C7E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7E28"/>
    <w:rPr>
      <w:rFonts w:ascii="Times New Roman" w:eastAsia="宋体" w:hAnsi="Times New Roman" w:cs="Times New Roman"/>
      <w:sz w:val="18"/>
      <w:szCs w:val="18"/>
    </w:rPr>
  </w:style>
  <w:style w:type="paragraph" w:styleId="a5">
    <w:name w:val="footer"/>
    <w:basedOn w:val="a"/>
    <w:link w:val="a6"/>
    <w:uiPriority w:val="99"/>
    <w:unhideWhenUsed/>
    <w:rsid w:val="002C7E28"/>
    <w:pPr>
      <w:tabs>
        <w:tab w:val="center" w:pos="4153"/>
        <w:tab w:val="right" w:pos="8306"/>
      </w:tabs>
      <w:snapToGrid w:val="0"/>
    </w:pPr>
    <w:rPr>
      <w:sz w:val="18"/>
      <w:szCs w:val="18"/>
    </w:rPr>
  </w:style>
  <w:style w:type="character" w:customStyle="1" w:styleId="a6">
    <w:name w:val="页脚 字符"/>
    <w:basedOn w:val="a0"/>
    <w:link w:val="a5"/>
    <w:uiPriority w:val="99"/>
    <w:rsid w:val="002C7E28"/>
    <w:rPr>
      <w:rFonts w:ascii="Times New Roman" w:eastAsia="宋体" w:hAnsi="Times New Roman" w:cs="Times New Roman"/>
      <w:sz w:val="18"/>
      <w:szCs w:val="18"/>
    </w:rPr>
  </w:style>
  <w:style w:type="character" w:styleId="a7">
    <w:name w:val="annotation reference"/>
    <w:basedOn w:val="a0"/>
    <w:uiPriority w:val="99"/>
    <w:semiHidden/>
    <w:unhideWhenUsed/>
    <w:rsid w:val="002C7E28"/>
    <w:rPr>
      <w:sz w:val="21"/>
      <w:szCs w:val="21"/>
    </w:rPr>
  </w:style>
  <w:style w:type="paragraph" w:styleId="a8">
    <w:name w:val="annotation text"/>
    <w:basedOn w:val="a"/>
    <w:link w:val="a9"/>
    <w:uiPriority w:val="99"/>
    <w:semiHidden/>
    <w:unhideWhenUsed/>
    <w:rsid w:val="002C7E28"/>
  </w:style>
  <w:style w:type="character" w:customStyle="1" w:styleId="a9">
    <w:name w:val="批注文字 字符"/>
    <w:basedOn w:val="a0"/>
    <w:link w:val="a8"/>
    <w:uiPriority w:val="99"/>
    <w:semiHidden/>
    <w:rsid w:val="002C7E28"/>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2C7E28"/>
    <w:rPr>
      <w:b/>
      <w:bCs/>
    </w:rPr>
  </w:style>
  <w:style w:type="character" w:customStyle="1" w:styleId="ab">
    <w:name w:val="批注主题 字符"/>
    <w:basedOn w:val="a9"/>
    <w:link w:val="aa"/>
    <w:uiPriority w:val="99"/>
    <w:semiHidden/>
    <w:rsid w:val="002C7E28"/>
    <w:rPr>
      <w:rFonts w:ascii="Times New Roman" w:eastAsia="宋体" w:hAnsi="Times New Roman" w:cs="Times New Roman"/>
      <w:b/>
      <w:bCs/>
      <w:szCs w:val="24"/>
    </w:rPr>
  </w:style>
  <w:style w:type="paragraph" w:styleId="ac">
    <w:name w:val="Balloon Text"/>
    <w:basedOn w:val="a"/>
    <w:link w:val="ad"/>
    <w:uiPriority w:val="99"/>
    <w:semiHidden/>
    <w:unhideWhenUsed/>
    <w:rsid w:val="002C7E28"/>
    <w:rPr>
      <w:sz w:val="18"/>
      <w:szCs w:val="18"/>
    </w:rPr>
  </w:style>
  <w:style w:type="character" w:customStyle="1" w:styleId="ad">
    <w:name w:val="批注框文本 字符"/>
    <w:basedOn w:val="a0"/>
    <w:link w:val="ac"/>
    <w:uiPriority w:val="99"/>
    <w:semiHidden/>
    <w:rsid w:val="002C7E28"/>
    <w:rPr>
      <w:rFonts w:ascii="Times New Roman" w:eastAsia="宋体" w:hAnsi="Times New Roman" w:cs="Times New Roman"/>
      <w:sz w:val="18"/>
      <w:szCs w:val="18"/>
    </w:rPr>
  </w:style>
  <w:style w:type="paragraph" w:styleId="ae">
    <w:name w:val="Revision"/>
    <w:hidden/>
    <w:uiPriority w:val="99"/>
    <w:semiHidden/>
    <w:rsid w:val="005D636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29</cp:revision>
  <dcterms:created xsi:type="dcterms:W3CDTF">2025-02-28T07:23:00Z</dcterms:created>
  <dcterms:modified xsi:type="dcterms:W3CDTF">2025-03-24T12:11:00Z</dcterms:modified>
</cp:coreProperties>
</file>