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218" w:rsidRPr="005740E6" w:rsidRDefault="00C10218" w:rsidP="00C10218">
      <w:pPr>
        <w:adjustRightInd w:val="0"/>
        <w:snapToGrid w:val="0"/>
        <w:spacing w:line="360" w:lineRule="auto"/>
        <w:jc w:val="center"/>
        <w:rPr>
          <w:rFonts w:ascii="方正小标宋简体" w:eastAsia="方正小标宋简体" w:hAnsi="黑体" w:hint="eastAsia"/>
          <w:sz w:val="44"/>
          <w:szCs w:val="44"/>
        </w:rPr>
      </w:pPr>
      <w:r w:rsidRPr="005740E6">
        <w:rPr>
          <w:rFonts w:ascii="方正小标宋简体" w:eastAsia="方正小标宋简体" w:hAnsi="黑体" w:hint="eastAsia"/>
          <w:sz w:val="44"/>
          <w:szCs w:val="44"/>
        </w:rPr>
        <w:t>兽药哺乳动物红细胞微核试验技术指导原则</w:t>
      </w:r>
    </w:p>
    <w:p w:rsidR="00C10218" w:rsidRPr="005740E6" w:rsidRDefault="00C10218" w:rsidP="00C10218">
      <w:pPr>
        <w:adjustRightInd w:val="0"/>
        <w:snapToGrid w:val="0"/>
        <w:spacing w:line="360" w:lineRule="auto"/>
        <w:ind w:firstLineChars="200" w:firstLine="560"/>
        <w:jc w:val="both"/>
        <w:rPr>
          <w:rFonts w:ascii="黑体" w:eastAsia="黑体" w:hAnsi="黑体" w:hint="eastAsia"/>
          <w:sz w:val="28"/>
          <w:szCs w:val="28"/>
        </w:rPr>
      </w:pPr>
      <w:r w:rsidRPr="005740E6">
        <w:rPr>
          <w:rFonts w:ascii="黑体" w:eastAsia="黑体" w:hAnsi="黑体" w:hint="eastAsia"/>
          <w:sz w:val="28"/>
          <w:szCs w:val="28"/>
        </w:rPr>
        <w:t>一、概述</w:t>
      </w:r>
    </w:p>
    <w:p w:rsidR="00C10218" w:rsidRPr="005740E6" w:rsidRDefault="00C10218" w:rsidP="00C10218">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（一）目的</w:t>
      </w:r>
    </w:p>
    <w:p w:rsidR="00C10218" w:rsidRPr="00595D0E" w:rsidRDefault="00C10218" w:rsidP="00C10218">
      <w:pPr>
        <w:adjustRightInd w:val="0"/>
        <w:snapToGrid w:val="0"/>
        <w:spacing w:line="360" w:lineRule="auto"/>
        <w:ind w:firstLineChars="200" w:firstLine="480"/>
        <w:jc w:val="both"/>
      </w:pPr>
      <w:r w:rsidRPr="00595D0E">
        <w:rPr>
          <w:rFonts w:hint="eastAsia"/>
          <w:sz w:val="24"/>
        </w:rPr>
        <w:t>哺乳动物红细胞微核试验是一种通过检测哺乳动物（通常为啮齿类动物，如小鼠或大鼠）骨髓和</w:t>
      </w:r>
      <w:r w:rsidRPr="00595D0E">
        <w:rPr>
          <w:sz w:val="24"/>
        </w:rPr>
        <w:t>/</w:t>
      </w:r>
      <w:r w:rsidRPr="00595D0E">
        <w:rPr>
          <w:rFonts w:hint="eastAsia"/>
          <w:sz w:val="24"/>
        </w:rPr>
        <w:t>或外周血红细胞中微核出现率以评价受试物引起染色体损伤的方法。微核是在细胞的有丝分裂后期染色体有规律地进入子细胞形成细胞核时，仍然滞留在细胞质中的染色单体或染色体的无着丝粒断片或环。它在末期以后，单独形成一个或几个规则的次核，包含在细胞的胞质中，由于比核小得多，故称微核。这种情况的出现往往是受到染色体断裂</w:t>
      </w:r>
      <w:proofErr w:type="gramStart"/>
      <w:r w:rsidRPr="00595D0E">
        <w:rPr>
          <w:rFonts w:hint="eastAsia"/>
          <w:sz w:val="24"/>
        </w:rPr>
        <w:t>剂作用</w:t>
      </w:r>
      <w:proofErr w:type="gramEnd"/>
      <w:r w:rsidRPr="00595D0E">
        <w:rPr>
          <w:rFonts w:hint="eastAsia"/>
          <w:sz w:val="24"/>
        </w:rPr>
        <w:t>的结果。另外，也可能在受到纺锤体毒物的作用时，</w:t>
      </w:r>
      <w:proofErr w:type="gramStart"/>
      <w:r w:rsidRPr="00595D0E">
        <w:rPr>
          <w:rFonts w:hint="eastAsia"/>
          <w:sz w:val="24"/>
        </w:rPr>
        <w:t>主核未能</w:t>
      </w:r>
      <w:proofErr w:type="gramEnd"/>
      <w:r w:rsidRPr="00595D0E">
        <w:rPr>
          <w:rFonts w:hint="eastAsia"/>
          <w:sz w:val="24"/>
        </w:rPr>
        <w:t>形成，代之以一组小核。此时小核往往比一般典型的微核稍大。微核可以出现在多种细胞中，但在有核细胞中较难与正常核的分叶及</w:t>
      </w:r>
      <w:proofErr w:type="gramStart"/>
      <w:r w:rsidRPr="00595D0E">
        <w:rPr>
          <w:rFonts w:hint="eastAsia"/>
          <w:sz w:val="24"/>
        </w:rPr>
        <w:t>核突出</w:t>
      </w:r>
      <w:proofErr w:type="gramEnd"/>
      <w:r w:rsidRPr="00595D0E">
        <w:rPr>
          <w:rFonts w:hint="eastAsia"/>
          <w:sz w:val="24"/>
        </w:rPr>
        <w:t>物相区别。由于红细胞在成熟之前最后一次分离后数小时内可</w:t>
      </w:r>
      <w:proofErr w:type="gramStart"/>
      <w:r w:rsidRPr="00595D0E">
        <w:rPr>
          <w:rFonts w:hint="eastAsia"/>
          <w:sz w:val="24"/>
        </w:rPr>
        <w:t>将主核排出</w:t>
      </w:r>
      <w:proofErr w:type="gramEnd"/>
      <w:r w:rsidRPr="00595D0E">
        <w:rPr>
          <w:rFonts w:hint="eastAsia"/>
          <w:sz w:val="24"/>
        </w:rPr>
        <w:t>，而仍保留微核于嗜多染红细胞（</w:t>
      </w:r>
      <w:r w:rsidRPr="00595D0E">
        <w:rPr>
          <w:sz w:val="24"/>
        </w:rPr>
        <w:t>PCE</w:t>
      </w:r>
      <w:r w:rsidRPr="00595D0E">
        <w:rPr>
          <w:rFonts w:hint="eastAsia"/>
          <w:sz w:val="24"/>
        </w:rPr>
        <w:t>）中，因此通常计数</w:t>
      </w:r>
      <w:r w:rsidRPr="00595D0E">
        <w:rPr>
          <w:sz w:val="24"/>
        </w:rPr>
        <w:t>PCE</w:t>
      </w:r>
      <w:r w:rsidRPr="00595D0E">
        <w:rPr>
          <w:rFonts w:hint="eastAsia"/>
          <w:sz w:val="24"/>
        </w:rPr>
        <w:t>中的微核。</w:t>
      </w:r>
    </w:p>
    <w:p w:rsidR="00C10218" w:rsidRPr="00595D0E" w:rsidRDefault="00C10218" w:rsidP="00C10218">
      <w:pPr>
        <w:adjustRightInd w:val="0"/>
        <w:snapToGrid w:val="0"/>
        <w:spacing w:line="360" w:lineRule="auto"/>
        <w:ind w:firstLineChars="200" w:firstLine="480"/>
        <w:jc w:val="both"/>
      </w:pPr>
      <w:r w:rsidRPr="00595D0E">
        <w:rPr>
          <w:rFonts w:hint="eastAsia"/>
          <w:sz w:val="24"/>
        </w:rPr>
        <w:t>本方法适用于检测染色体断裂剂和部分非整倍体诱导剂。如果有证据表明受试物或其活性</w:t>
      </w:r>
      <w:proofErr w:type="gramStart"/>
      <w:r w:rsidRPr="00595D0E">
        <w:rPr>
          <w:rFonts w:hint="eastAsia"/>
          <w:sz w:val="24"/>
        </w:rPr>
        <w:t>代谢产物在靶组织</w:t>
      </w:r>
      <w:proofErr w:type="gramEnd"/>
      <w:r w:rsidRPr="00595D0E">
        <w:rPr>
          <w:rFonts w:hint="eastAsia"/>
          <w:sz w:val="24"/>
        </w:rPr>
        <w:t>中无法达到足够的暴露量，则不适合使用本方法。</w:t>
      </w:r>
    </w:p>
    <w:p w:rsidR="00C10218" w:rsidRPr="00595D0E" w:rsidRDefault="00C10218" w:rsidP="00C10218">
      <w:pPr>
        <w:adjustRightInd w:val="0"/>
        <w:snapToGrid w:val="0"/>
        <w:spacing w:line="360" w:lineRule="auto"/>
        <w:ind w:firstLineChars="200" w:firstLine="480"/>
        <w:jc w:val="both"/>
      </w:pPr>
      <w:r w:rsidRPr="00595D0E">
        <w:rPr>
          <w:rFonts w:hint="eastAsia"/>
          <w:sz w:val="24"/>
        </w:rPr>
        <w:t>为了确保兽药哺乳动物红细胞微核试验结果的真实性、可靠性和</w:t>
      </w:r>
      <w:proofErr w:type="gramStart"/>
      <w:r w:rsidRPr="00595D0E">
        <w:rPr>
          <w:rFonts w:hint="eastAsia"/>
          <w:sz w:val="24"/>
        </w:rPr>
        <w:t>可</w:t>
      </w:r>
      <w:proofErr w:type="gramEnd"/>
      <w:r w:rsidRPr="00595D0E">
        <w:rPr>
          <w:rFonts w:hint="eastAsia"/>
          <w:sz w:val="24"/>
        </w:rPr>
        <w:t>追溯性，根据新兽药研究的规律，结合国内兽药毒理学评价的实际情况制定了本指导原则。对偏离本指导原则的试验研究，申请人应进行解释说明。</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（二）适用范围</w:t>
      </w:r>
    </w:p>
    <w:p w:rsidR="006C012D" w:rsidRPr="00F9483A" w:rsidRDefault="00833D59" w:rsidP="00F9483A">
      <w:pPr>
        <w:adjustRightInd w:val="0"/>
        <w:snapToGrid w:val="0"/>
        <w:spacing w:line="360" w:lineRule="auto"/>
        <w:ind w:firstLineChars="200" w:firstLine="480"/>
        <w:jc w:val="both"/>
      </w:pPr>
      <w:r w:rsidRPr="00833D59">
        <w:rPr>
          <w:rFonts w:hint="eastAsia"/>
          <w:sz w:val="24"/>
        </w:rPr>
        <w:t>本指导原则适用于兽用化学药物、兽用中药和兽用天然药物。消毒剂参考使用</w:t>
      </w:r>
      <w:r w:rsidR="00F9483A">
        <w:rPr>
          <w:rFonts w:hint="eastAsia"/>
          <w:sz w:val="24"/>
        </w:rPr>
        <w:t>。</w:t>
      </w:r>
    </w:p>
    <w:p w:rsidR="00C16097" w:rsidRPr="00D97350" w:rsidRDefault="00C16097" w:rsidP="00C16097">
      <w:pPr>
        <w:adjustRightInd w:val="0"/>
        <w:snapToGrid w:val="0"/>
        <w:spacing w:line="360" w:lineRule="auto"/>
        <w:ind w:firstLineChars="200" w:firstLine="560"/>
        <w:jc w:val="both"/>
        <w:rPr>
          <w:rFonts w:ascii="黑体" w:eastAsia="黑体" w:hAnsi="黑体" w:hint="eastAsia"/>
          <w:sz w:val="28"/>
          <w:szCs w:val="28"/>
        </w:rPr>
      </w:pPr>
      <w:r w:rsidRPr="00D97350">
        <w:rPr>
          <w:rFonts w:ascii="黑体" w:eastAsia="黑体" w:hAnsi="黑体" w:hint="eastAsia"/>
          <w:sz w:val="28"/>
          <w:szCs w:val="28"/>
        </w:rPr>
        <w:t>二、基本原则</w:t>
      </w:r>
    </w:p>
    <w:p w:rsidR="00C16097" w:rsidRPr="000500D4" w:rsidRDefault="00C16097" w:rsidP="00C16097">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（一）实验管理</w:t>
      </w:r>
    </w:p>
    <w:p w:rsidR="00C16097" w:rsidRPr="000500D4" w:rsidRDefault="00C16097" w:rsidP="00C16097">
      <w:pPr>
        <w:adjustRightInd w:val="0"/>
        <w:snapToGrid w:val="0"/>
        <w:spacing w:line="360" w:lineRule="auto"/>
        <w:ind w:firstLineChars="200" w:firstLine="480"/>
        <w:jc w:val="both"/>
        <w:rPr>
          <w:sz w:val="24"/>
        </w:rPr>
      </w:pPr>
      <w:r w:rsidRPr="00C16097">
        <w:rPr>
          <w:rFonts w:hint="eastAsia"/>
          <w:sz w:val="24"/>
        </w:rPr>
        <w:t>兽药哺乳动物红细胞微核试验</w:t>
      </w:r>
      <w:r w:rsidRPr="000500D4">
        <w:rPr>
          <w:rFonts w:hint="eastAsia"/>
          <w:sz w:val="24"/>
        </w:rPr>
        <w:t>须执行《兽药非临床研究质量管理规范》或《药物非临床研究质量管理规范》。</w:t>
      </w:r>
    </w:p>
    <w:p w:rsidR="00C16097" w:rsidRPr="000500D4" w:rsidRDefault="00C16097" w:rsidP="00C16097">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lastRenderedPageBreak/>
        <w:t>（二）具体问题具体分析</w:t>
      </w:r>
    </w:p>
    <w:p w:rsidR="00C16097" w:rsidRPr="000500D4" w:rsidRDefault="00C16097" w:rsidP="00C16097">
      <w:pPr>
        <w:adjustRightInd w:val="0"/>
        <w:snapToGrid w:val="0"/>
        <w:spacing w:line="360" w:lineRule="auto"/>
        <w:ind w:firstLineChars="200" w:firstLine="480"/>
        <w:jc w:val="both"/>
        <w:rPr>
          <w:sz w:val="24"/>
        </w:rPr>
      </w:pPr>
      <w:r w:rsidRPr="00C16097">
        <w:rPr>
          <w:rFonts w:hint="eastAsia"/>
          <w:sz w:val="24"/>
        </w:rPr>
        <w:t>兽药哺乳动物红细胞微核试验</w:t>
      </w:r>
      <w:r w:rsidRPr="000500D4">
        <w:rPr>
          <w:rFonts w:hint="eastAsia"/>
          <w:sz w:val="24"/>
        </w:rPr>
        <w:t>的设计，应在对受试物认知的基础上，遵循“具体问题具体分析”的原则。应根据受试物的结构特点、理化性质、已有的药理毒理研究信息、适应证和适用</w:t>
      </w:r>
      <w:proofErr w:type="gramStart"/>
      <w:r w:rsidRPr="000500D4">
        <w:rPr>
          <w:rFonts w:hint="eastAsia"/>
          <w:sz w:val="24"/>
        </w:rPr>
        <w:t>靶动物</w:t>
      </w:r>
      <w:proofErr w:type="gramEnd"/>
      <w:r w:rsidRPr="000500D4">
        <w:rPr>
          <w:rFonts w:hint="eastAsia"/>
          <w:sz w:val="24"/>
        </w:rPr>
        <w:t>特点、临床用药方案等选择合理的试验方法，设计适宜的试验方案，并综合上述信息对试验结果进行全面分析评价。</w:t>
      </w:r>
    </w:p>
    <w:p w:rsidR="00C10218" w:rsidRPr="005740E6" w:rsidRDefault="00C16097" w:rsidP="00C10218">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三</w:t>
      </w:r>
      <w:r w:rsidR="00C10218" w:rsidRPr="005740E6">
        <w:rPr>
          <w:rFonts w:ascii="黑体" w:eastAsia="黑体" w:hAnsi="黑体" w:hint="eastAsia"/>
          <w:sz w:val="28"/>
          <w:szCs w:val="28"/>
        </w:rPr>
        <w:t>、试验设计</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（一）实验动物</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noProof/>
          <w:kern w:val="0"/>
          <w:sz w:val="24"/>
        </w:rPr>
        <w:t>1.</w:t>
      </w:r>
      <w:r w:rsidRPr="008D47BA">
        <w:rPr>
          <w:rFonts w:hint="eastAsia"/>
          <w:noProof/>
          <w:kern w:val="0"/>
          <w:sz w:val="24"/>
        </w:rPr>
        <w:t>动物选择</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该试验通常使用小鼠和大鼠骨髓，也可通过小鼠外周血中未成熟红细胞（如嗜多染红细胞）或大鼠血液新生网织红细胞测定。由于大鼠脾脏可清除血液中的微核化红细胞，若采用大鼠外周血测定微核，需采用具有足够灵敏度的检测方法来测定新生网织红细胞中的微核。</w:t>
      </w:r>
      <w:r w:rsidRPr="005740E6">
        <w:rPr>
          <w:rFonts w:hint="eastAsia"/>
          <w:noProof/>
          <w:kern w:val="0"/>
          <w:sz w:val="24"/>
        </w:rPr>
        <w:t>也可使用已证明了对检测断裂剂</w:t>
      </w:r>
      <w:r w:rsidRPr="005740E6">
        <w:rPr>
          <w:noProof/>
          <w:kern w:val="0"/>
          <w:sz w:val="24"/>
        </w:rPr>
        <w:t>/</w:t>
      </w:r>
      <w:r w:rsidRPr="005740E6">
        <w:rPr>
          <w:rFonts w:hint="eastAsia"/>
          <w:noProof/>
          <w:kern w:val="0"/>
          <w:sz w:val="24"/>
        </w:rPr>
        <w:t>非整倍体诱导剂具有足够灵敏度、来源于其他哺乳动物的骨髓或外周血的未成熟红细胞（当使用其他哺乳动物的外周血时，必须证实脾脏清除循环系统中的含微核红细胞不会影响微核的检测），并需提供相应的科学依据。</w:t>
      </w:r>
      <w:bookmarkStart w:id="0" w:name="_Hlk182488888"/>
      <w:r w:rsidRPr="008D47BA">
        <w:rPr>
          <w:rFonts w:hint="eastAsia"/>
          <w:noProof/>
          <w:kern w:val="0"/>
          <w:sz w:val="24"/>
        </w:rPr>
        <w:t>应从有实验动物资质证明的饲养单位购买。如果没有资质证明，动物应来源清楚，饲养规范。</w:t>
      </w:r>
      <w:bookmarkEnd w:id="0"/>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采用健康初成年动物，啮齿类动物给药起始年龄建议为</w:t>
      </w:r>
      <w:r w:rsidRPr="0001104D">
        <w:rPr>
          <w:noProof/>
          <w:kern w:val="0"/>
          <w:sz w:val="24"/>
        </w:rPr>
        <w:t>6</w:t>
      </w:r>
      <w:r w:rsidRPr="008D47BA">
        <w:rPr>
          <w:rFonts w:hint="eastAsia"/>
          <w:noProof/>
          <w:kern w:val="0"/>
          <w:sz w:val="24"/>
        </w:rPr>
        <w:t>～</w:t>
      </w:r>
      <w:r w:rsidRPr="0001104D">
        <w:rPr>
          <w:noProof/>
          <w:kern w:val="0"/>
          <w:sz w:val="24"/>
        </w:rPr>
        <w:t>10</w:t>
      </w:r>
      <w:r w:rsidRPr="008D47BA">
        <w:rPr>
          <w:rFonts w:hint="eastAsia"/>
          <w:noProof/>
          <w:kern w:val="0"/>
          <w:sz w:val="24"/>
        </w:rPr>
        <w:t>周龄。</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试验开始时，动物体重变异应不超过同性别平均体重的</w:t>
      </w:r>
      <w:r w:rsidRPr="00447443">
        <w:rPr>
          <w:noProof/>
          <w:kern w:val="0"/>
          <w:sz w:val="24"/>
        </w:rPr>
        <w:t>±</w:t>
      </w:r>
      <w:r w:rsidRPr="0001104D">
        <w:rPr>
          <w:noProof/>
          <w:kern w:val="0"/>
          <w:sz w:val="24"/>
        </w:rPr>
        <w:t>20%</w:t>
      </w:r>
      <w:r w:rsidRPr="008D47BA">
        <w:rPr>
          <w:rFonts w:hint="eastAsia"/>
          <w:noProof/>
          <w:kern w:val="0"/>
          <w:sz w:val="24"/>
        </w:rPr>
        <w:t>。</w:t>
      </w:r>
    </w:p>
    <w:p w:rsidR="00C10218" w:rsidRPr="005740E6" w:rsidRDefault="00C10218" w:rsidP="00C10218">
      <w:pPr>
        <w:adjustRightInd w:val="0"/>
        <w:snapToGrid w:val="0"/>
        <w:spacing w:line="360" w:lineRule="auto"/>
        <w:ind w:firstLineChars="200" w:firstLine="480"/>
        <w:jc w:val="both"/>
        <w:rPr>
          <w:noProof/>
          <w:kern w:val="0"/>
          <w:sz w:val="24"/>
        </w:rPr>
      </w:pPr>
      <w:r w:rsidRPr="005740E6">
        <w:rPr>
          <w:noProof/>
          <w:kern w:val="0"/>
          <w:sz w:val="24"/>
        </w:rPr>
        <w:t>2.</w:t>
      </w:r>
      <w:r w:rsidRPr="005740E6">
        <w:rPr>
          <w:rFonts w:hint="eastAsia"/>
          <w:noProof/>
          <w:kern w:val="0"/>
          <w:sz w:val="24"/>
        </w:rPr>
        <w:t>动物数量</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每组每个采样时间点可分析的雌、雄动物数至少各</w:t>
      </w:r>
      <w:r w:rsidRPr="008D47BA">
        <w:rPr>
          <w:noProof/>
          <w:kern w:val="0"/>
          <w:sz w:val="24"/>
        </w:rPr>
        <w:t>5</w:t>
      </w:r>
      <w:r w:rsidRPr="008D47BA">
        <w:rPr>
          <w:rFonts w:hint="eastAsia"/>
          <w:noProof/>
          <w:kern w:val="0"/>
          <w:sz w:val="24"/>
        </w:rPr>
        <w:t>只。</w:t>
      </w:r>
    </w:p>
    <w:p w:rsidR="00C10218" w:rsidRPr="005740E6" w:rsidRDefault="00C10218" w:rsidP="00C10218">
      <w:pPr>
        <w:adjustRightInd w:val="0"/>
        <w:snapToGrid w:val="0"/>
        <w:spacing w:line="360" w:lineRule="auto"/>
        <w:ind w:firstLineChars="200" w:firstLine="480"/>
        <w:jc w:val="both"/>
        <w:rPr>
          <w:noProof/>
          <w:kern w:val="0"/>
          <w:sz w:val="24"/>
        </w:rPr>
      </w:pPr>
      <w:r w:rsidRPr="005740E6">
        <w:rPr>
          <w:noProof/>
          <w:kern w:val="0"/>
          <w:sz w:val="24"/>
        </w:rPr>
        <w:t>3.</w:t>
      </w:r>
      <w:r w:rsidRPr="005740E6">
        <w:rPr>
          <w:rFonts w:hint="eastAsia"/>
          <w:noProof/>
          <w:kern w:val="0"/>
          <w:sz w:val="24"/>
        </w:rPr>
        <w:t>动物管理</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实验动物分别进行标记编号和称重，随机分组。</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试验前，</w:t>
      </w:r>
      <w:r w:rsidR="00FE1E8B" w:rsidRPr="00FE1E8B">
        <w:rPr>
          <w:rFonts w:hint="eastAsia"/>
          <w:noProof/>
          <w:kern w:val="0"/>
          <w:sz w:val="24"/>
        </w:rPr>
        <w:t>应进行检疫观察，</w:t>
      </w:r>
      <w:r w:rsidRPr="008D47BA">
        <w:rPr>
          <w:rFonts w:hint="eastAsia"/>
          <w:noProof/>
          <w:kern w:val="0"/>
          <w:sz w:val="24"/>
        </w:rPr>
        <w:t>环境适应期至少为</w:t>
      </w:r>
      <w:r w:rsidRPr="0001104D">
        <w:rPr>
          <w:noProof/>
          <w:kern w:val="0"/>
          <w:sz w:val="24"/>
        </w:rPr>
        <w:t>5</w:t>
      </w:r>
      <w:r w:rsidRPr="008D47BA">
        <w:rPr>
          <w:rFonts w:hint="eastAsia"/>
          <w:noProof/>
          <w:kern w:val="0"/>
          <w:sz w:val="24"/>
        </w:rPr>
        <w:t>天。</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饲养条件应符合现行国家标准要求。同一处理组的同一性别动物应一起笼养（每笼不超过</w:t>
      </w:r>
      <w:r w:rsidRPr="008D47BA">
        <w:rPr>
          <w:noProof/>
          <w:kern w:val="0"/>
          <w:sz w:val="24"/>
        </w:rPr>
        <w:t>5</w:t>
      </w:r>
      <w:r w:rsidRPr="008D47BA">
        <w:rPr>
          <w:rFonts w:hint="eastAsia"/>
          <w:noProof/>
          <w:kern w:val="0"/>
          <w:sz w:val="24"/>
        </w:rPr>
        <w:t>只，以不影响动物自由活动和症状考察、指标测定为宜）。若动物单只饲养须有充分的科学依据。笼子的安放应随机安排，尽可能减小位置造成的影响。避免阳性对照物和</w:t>
      </w:r>
      <w:r w:rsidR="00F85915">
        <w:rPr>
          <w:rFonts w:hint="eastAsia"/>
          <w:noProof/>
          <w:kern w:val="0"/>
          <w:sz w:val="24"/>
        </w:rPr>
        <w:t>受试物</w:t>
      </w:r>
      <w:r w:rsidRPr="008D47BA">
        <w:rPr>
          <w:rFonts w:hint="eastAsia"/>
          <w:noProof/>
          <w:kern w:val="0"/>
          <w:sz w:val="24"/>
        </w:rPr>
        <w:t>之间交叉污染。</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w:t>
      </w:r>
      <w:r w:rsidR="00F85915">
        <w:rPr>
          <w:rFonts w:ascii="黑体" w:eastAsia="黑体" w:hAnsi="黑体" w:hint="eastAsia"/>
          <w:sz w:val="24"/>
        </w:rPr>
        <w:t>受试物</w:t>
      </w:r>
    </w:p>
    <w:p w:rsidR="00F85915" w:rsidRDefault="00F85915" w:rsidP="00F85915">
      <w:pPr>
        <w:adjustRightInd w:val="0"/>
        <w:snapToGrid w:val="0"/>
        <w:spacing w:line="360" w:lineRule="auto"/>
        <w:ind w:firstLineChars="200" w:firstLine="480"/>
        <w:jc w:val="both"/>
        <w:rPr>
          <w:sz w:val="24"/>
        </w:rPr>
      </w:pPr>
      <w:r w:rsidRPr="00FD3B6F">
        <w:rPr>
          <w:rFonts w:hint="eastAsia"/>
          <w:sz w:val="24"/>
        </w:rPr>
        <w:t>化学药物：受试物应采用工艺相对稳定、纯度和杂质含量能反映临床试验拟用样品和</w:t>
      </w:r>
      <w:r w:rsidRPr="00FD3B6F">
        <w:rPr>
          <w:rFonts w:hint="eastAsia"/>
          <w:sz w:val="24"/>
        </w:rPr>
        <w:t>/</w:t>
      </w:r>
      <w:r w:rsidRPr="00FD3B6F">
        <w:rPr>
          <w:rFonts w:hint="eastAsia"/>
          <w:sz w:val="24"/>
        </w:rPr>
        <w:t>或上市样品质量和安全性的样品。应注明受试物名称、来源、批号、生</w:t>
      </w:r>
      <w:r w:rsidRPr="00FD3B6F">
        <w:rPr>
          <w:rFonts w:hint="eastAsia"/>
          <w:sz w:val="24"/>
        </w:rPr>
        <w:lastRenderedPageBreak/>
        <w:t>产日期、含量（或规格）、保存条件、有效期及配制方法等，并提供质量检验报告。试验中所用溶媒和</w:t>
      </w:r>
      <w:r w:rsidRPr="00FD3B6F">
        <w:rPr>
          <w:rFonts w:hint="eastAsia"/>
          <w:sz w:val="24"/>
        </w:rPr>
        <w:t>/</w:t>
      </w:r>
      <w:r w:rsidRPr="00FD3B6F">
        <w:rPr>
          <w:rFonts w:hint="eastAsia"/>
          <w:sz w:val="24"/>
        </w:rPr>
        <w:t>或辅料应标明名称、标准、批号、有效期、规格和生产单位等，并符合试验要求。</w:t>
      </w:r>
    </w:p>
    <w:p w:rsidR="00F85915" w:rsidRPr="00FD3B6F" w:rsidRDefault="00F85915" w:rsidP="00F85915">
      <w:pPr>
        <w:adjustRightInd w:val="0"/>
        <w:snapToGrid w:val="0"/>
        <w:spacing w:line="360" w:lineRule="auto"/>
        <w:ind w:firstLineChars="200" w:firstLine="480"/>
        <w:jc w:val="both"/>
        <w:rPr>
          <w:sz w:val="24"/>
        </w:rPr>
      </w:pPr>
      <w:r w:rsidRPr="00FD3B6F">
        <w:rPr>
          <w:rFonts w:hint="eastAsia"/>
          <w:sz w:val="24"/>
        </w:rPr>
        <w:t>中药、天然药物：受试物应采用能充分代表临床试验拟用样品和</w:t>
      </w:r>
      <w:r w:rsidRPr="00FD3B6F">
        <w:rPr>
          <w:rFonts w:hint="eastAsia"/>
          <w:sz w:val="24"/>
        </w:rPr>
        <w:t>/</w:t>
      </w:r>
      <w:r w:rsidRPr="00FD3B6F">
        <w:rPr>
          <w:rFonts w:hint="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FD3B6F">
        <w:rPr>
          <w:rFonts w:hint="eastAsia"/>
          <w:sz w:val="24"/>
        </w:rPr>
        <w:t>/</w:t>
      </w:r>
      <w:r w:rsidRPr="00FD3B6F">
        <w:rPr>
          <w:rFonts w:hint="eastAsia"/>
          <w:sz w:val="24"/>
        </w:rPr>
        <w:t>或辅料应标明名称、标准、批号、有效期、规格及生产单位。</w:t>
      </w:r>
    </w:p>
    <w:p w:rsidR="00F85915" w:rsidRPr="00FD3B6F" w:rsidRDefault="00F85915" w:rsidP="00F85915">
      <w:pPr>
        <w:adjustRightInd w:val="0"/>
        <w:snapToGrid w:val="0"/>
        <w:spacing w:line="360" w:lineRule="auto"/>
        <w:ind w:firstLineChars="200" w:firstLine="480"/>
        <w:jc w:val="both"/>
        <w:rPr>
          <w:sz w:val="24"/>
        </w:rPr>
      </w:pPr>
      <w:r w:rsidRPr="00FD3B6F">
        <w:rPr>
          <w:rFonts w:hint="eastAsia"/>
          <w:sz w:val="24"/>
        </w:rPr>
        <w:t>在药物研发的过程中，若受试物的工艺发生变化可能影响其安全性的，应进行相应的安全性研究。</w:t>
      </w:r>
    </w:p>
    <w:p w:rsidR="00F85915" w:rsidRDefault="00F85915" w:rsidP="00C10218">
      <w:pPr>
        <w:adjustRightInd w:val="0"/>
        <w:snapToGrid w:val="0"/>
        <w:spacing w:line="360" w:lineRule="auto"/>
        <w:ind w:firstLineChars="200" w:firstLine="480"/>
        <w:jc w:val="both"/>
        <w:rPr>
          <w:sz w:val="24"/>
        </w:rPr>
      </w:pPr>
      <w:r w:rsidRPr="00FD3B6F">
        <w:rPr>
          <w:rFonts w:hint="eastAsia"/>
          <w:sz w:val="24"/>
        </w:rPr>
        <w:t>化学药物试验过程中应进行受试物样品分析，并提供样品分析报告。成分基本清楚的中药、天然药物也应进行受试物样品分析。</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（三）试验分组</w:t>
      </w:r>
    </w:p>
    <w:p w:rsidR="00C10218" w:rsidRPr="00595D0E" w:rsidRDefault="00C10218" w:rsidP="00C10218">
      <w:pPr>
        <w:adjustRightInd w:val="0"/>
        <w:snapToGrid w:val="0"/>
        <w:spacing w:line="360" w:lineRule="auto"/>
        <w:ind w:firstLineChars="200" w:firstLine="480"/>
        <w:jc w:val="both"/>
      </w:pPr>
      <w:r w:rsidRPr="00595D0E">
        <w:rPr>
          <w:rFonts w:hint="eastAsia"/>
          <w:sz w:val="24"/>
        </w:rPr>
        <w:t>试验应同时设置</w:t>
      </w:r>
      <w:r w:rsidR="00F85915">
        <w:rPr>
          <w:rFonts w:hint="eastAsia"/>
          <w:sz w:val="24"/>
        </w:rPr>
        <w:t>受试物</w:t>
      </w:r>
      <w:r w:rsidRPr="00595D0E">
        <w:rPr>
          <w:rFonts w:hint="eastAsia"/>
          <w:sz w:val="24"/>
        </w:rPr>
        <w:t>组、阳性对照组和阴性对照组（溶剂对照和</w:t>
      </w:r>
      <w:r w:rsidRPr="00595D0E">
        <w:rPr>
          <w:sz w:val="24"/>
        </w:rPr>
        <w:t>/</w:t>
      </w:r>
      <w:r w:rsidRPr="00595D0E">
        <w:rPr>
          <w:rFonts w:hint="eastAsia"/>
          <w:sz w:val="24"/>
        </w:rPr>
        <w:t>或空白对照）。</w:t>
      </w:r>
    </w:p>
    <w:p w:rsidR="00C10218" w:rsidRPr="0001104D" w:rsidRDefault="00C10218" w:rsidP="00C10218">
      <w:pPr>
        <w:adjustRightInd w:val="0"/>
        <w:snapToGrid w:val="0"/>
        <w:spacing w:line="360" w:lineRule="auto"/>
        <w:ind w:firstLineChars="200" w:firstLine="480"/>
        <w:jc w:val="both"/>
        <w:rPr>
          <w:noProof/>
          <w:sz w:val="24"/>
        </w:rPr>
      </w:pPr>
      <w:bookmarkStart w:id="1" w:name="_Hlk177705894"/>
      <w:r w:rsidRPr="0001104D">
        <w:rPr>
          <w:noProof/>
          <w:sz w:val="24"/>
        </w:rPr>
        <w:t>1.</w:t>
      </w:r>
      <w:r w:rsidR="00F85915">
        <w:rPr>
          <w:noProof/>
          <w:sz w:val="24"/>
        </w:rPr>
        <w:t>受试物</w:t>
      </w:r>
      <w:r w:rsidRPr="0001104D">
        <w:rPr>
          <w:noProof/>
          <w:sz w:val="24"/>
        </w:rPr>
        <w:t>组</w:t>
      </w:r>
    </w:p>
    <w:bookmarkEnd w:id="1"/>
    <w:p w:rsidR="00C10218" w:rsidRPr="00595D0E" w:rsidRDefault="00C10218" w:rsidP="00C10218">
      <w:pPr>
        <w:adjustRightInd w:val="0"/>
        <w:snapToGrid w:val="0"/>
        <w:spacing w:line="360" w:lineRule="auto"/>
        <w:ind w:firstLineChars="200" w:firstLine="480"/>
        <w:jc w:val="both"/>
      </w:pPr>
      <w:r w:rsidRPr="00595D0E">
        <w:rPr>
          <w:rFonts w:hint="eastAsia"/>
          <w:sz w:val="24"/>
        </w:rPr>
        <w:t>至少应设置</w:t>
      </w:r>
      <w:r w:rsidRPr="00595D0E">
        <w:rPr>
          <w:sz w:val="24"/>
        </w:rPr>
        <w:t>3</w:t>
      </w:r>
      <w:r w:rsidRPr="00595D0E">
        <w:rPr>
          <w:rFonts w:hint="eastAsia"/>
          <w:sz w:val="24"/>
        </w:rPr>
        <w:t>个剂量组。</w:t>
      </w:r>
    </w:p>
    <w:p w:rsidR="00C10218" w:rsidRPr="00595D0E" w:rsidRDefault="00C10218" w:rsidP="00C10218">
      <w:pPr>
        <w:adjustRightInd w:val="0"/>
        <w:snapToGrid w:val="0"/>
        <w:spacing w:line="360" w:lineRule="auto"/>
        <w:ind w:firstLineChars="200" w:firstLine="480"/>
        <w:jc w:val="both"/>
      </w:pPr>
      <w:bookmarkStart w:id="2" w:name="_Hlk182489558"/>
      <w:r w:rsidRPr="00595D0E">
        <w:rPr>
          <w:rFonts w:hint="eastAsia"/>
          <w:sz w:val="24"/>
        </w:rPr>
        <w:t>根据相关毒性试验或</w:t>
      </w:r>
      <w:proofErr w:type="gramStart"/>
      <w:r w:rsidRPr="00595D0E">
        <w:rPr>
          <w:rFonts w:hint="eastAsia"/>
          <w:sz w:val="24"/>
        </w:rPr>
        <w:t>预试验</w:t>
      </w:r>
      <w:proofErr w:type="gramEnd"/>
      <w:r w:rsidRPr="00595D0E">
        <w:rPr>
          <w:rFonts w:hint="eastAsia"/>
          <w:sz w:val="24"/>
        </w:rPr>
        <w:t>的结果确定高剂量，最高剂量之下的其他剂量一般剂量间距为约</w:t>
      </w:r>
      <w:r w:rsidRPr="00595D0E">
        <w:rPr>
          <w:sz w:val="24"/>
        </w:rPr>
        <w:t>2</w:t>
      </w:r>
      <w:r w:rsidRPr="00595D0E">
        <w:rPr>
          <w:rFonts w:hint="eastAsia"/>
          <w:sz w:val="24"/>
        </w:rPr>
        <w:t>～</w:t>
      </w:r>
      <w:r w:rsidRPr="00595D0E">
        <w:rPr>
          <w:sz w:val="24"/>
        </w:rPr>
        <w:t>3</w:t>
      </w:r>
      <w:r w:rsidRPr="00595D0E">
        <w:rPr>
          <w:rFonts w:hint="eastAsia"/>
          <w:sz w:val="24"/>
        </w:rPr>
        <w:t>倍，对于具有血液或骨髓毒性的</w:t>
      </w:r>
      <w:r w:rsidR="00F85915">
        <w:rPr>
          <w:rFonts w:hint="eastAsia"/>
          <w:sz w:val="24"/>
        </w:rPr>
        <w:t>受试物</w:t>
      </w:r>
      <w:r w:rsidRPr="00595D0E">
        <w:rPr>
          <w:rFonts w:hint="eastAsia"/>
          <w:sz w:val="24"/>
        </w:rPr>
        <w:t>，应在具有严重红细胞系毒性（如具有明显的嗜多染红细胞或网织红细胞抑制）的高剂量之下、间距不超过约</w:t>
      </w:r>
      <w:r w:rsidRPr="00595D0E">
        <w:rPr>
          <w:sz w:val="24"/>
        </w:rPr>
        <w:t>2</w:t>
      </w:r>
      <w:r w:rsidRPr="00595D0E">
        <w:rPr>
          <w:rFonts w:hint="eastAsia"/>
          <w:sz w:val="24"/>
        </w:rPr>
        <w:t>倍。</w:t>
      </w:r>
      <w:bookmarkEnd w:id="2"/>
      <w:r w:rsidRPr="00595D0E">
        <w:rPr>
          <w:rFonts w:hint="eastAsia"/>
          <w:sz w:val="24"/>
        </w:rPr>
        <w:t>例如，如果</w:t>
      </w:r>
      <w:r w:rsidR="00F85915">
        <w:rPr>
          <w:rFonts w:hint="eastAsia"/>
          <w:sz w:val="24"/>
        </w:rPr>
        <w:t>受试物</w:t>
      </w:r>
      <w:r w:rsidRPr="00595D0E">
        <w:rPr>
          <w:rFonts w:hint="eastAsia"/>
          <w:sz w:val="24"/>
        </w:rPr>
        <w:t>具有毒性，最高剂量组原则上为动物出现严重中毒表现和</w:t>
      </w:r>
      <w:r w:rsidRPr="00595D0E">
        <w:rPr>
          <w:sz w:val="24"/>
        </w:rPr>
        <w:t>/</w:t>
      </w:r>
      <w:r w:rsidRPr="00595D0E">
        <w:rPr>
          <w:rFonts w:hint="eastAsia"/>
          <w:sz w:val="24"/>
        </w:rPr>
        <w:t>或个别动物出现死亡的剂量，一般可取</w:t>
      </w:r>
      <w:r w:rsidRPr="00595D0E">
        <w:rPr>
          <w:sz w:val="24"/>
        </w:rPr>
        <w:t>1/2 LD</w:t>
      </w:r>
      <w:r w:rsidRPr="00595D0E">
        <w:rPr>
          <w:sz w:val="24"/>
          <w:vertAlign w:val="subscript"/>
        </w:rPr>
        <w:t>50</w:t>
      </w:r>
      <w:r w:rsidRPr="00595D0E">
        <w:rPr>
          <w:rFonts w:hint="eastAsia"/>
          <w:sz w:val="24"/>
        </w:rPr>
        <w:t>，低剂量组应不表现出毒性，分别可取</w:t>
      </w:r>
      <w:r w:rsidRPr="00595D0E">
        <w:rPr>
          <w:sz w:val="24"/>
        </w:rPr>
        <w:t>1/4 LD</w:t>
      </w:r>
      <w:r w:rsidRPr="00595D0E">
        <w:rPr>
          <w:sz w:val="24"/>
          <w:vertAlign w:val="subscript"/>
        </w:rPr>
        <w:t>50</w:t>
      </w:r>
      <w:r w:rsidRPr="00595D0E">
        <w:rPr>
          <w:rFonts w:hint="eastAsia"/>
          <w:sz w:val="24"/>
        </w:rPr>
        <w:t>和</w:t>
      </w:r>
      <w:r w:rsidRPr="00595D0E">
        <w:rPr>
          <w:sz w:val="24"/>
        </w:rPr>
        <w:t>1/8 LD</w:t>
      </w:r>
      <w:r w:rsidRPr="00595D0E">
        <w:rPr>
          <w:sz w:val="24"/>
          <w:vertAlign w:val="subscript"/>
        </w:rPr>
        <w:t>50</w:t>
      </w:r>
      <w:r w:rsidRPr="00595D0E">
        <w:rPr>
          <w:rFonts w:hint="eastAsia"/>
          <w:sz w:val="24"/>
        </w:rPr>
        <w:t>作为中、低剂量。</w:t>
      </w:r>
      <w:r w:rsidRPr="005740E6">
        <w:rPr>
          <w:rFonts w:hint="eastAsia"/>
          <w:sz w:val="24"/>
        </w:rPr>
        <w:t>急性毒性试验给予</w:t>
      </w:r>
      <w:r w:rsidR="00F85915">
        <w:rPr>
          <w:rFonts w:hint="eastAsia"/>
          <w:sz w:val="24"/>
        </w:rPr>
        <w:t>受试</w:t>
      </w:r>
      <w:proofErr w:type="gramStart"/>
      <w:r w:rsidR="00F85915">
        <w:rPr>
          <w:rFonts w:hint="eastAsia"/>
          <w:sz w:val="24"/>
        </w:rPr>
        <w:t>物</w:t>
      </w:r>
      <w:r w:rsidRPr="005740E6">
        <w:rPr>
          <w:rFonts w:hint="eastAsia"/>
          <w:sz w:val="24"/>
        </w:rPr>
        <w:t>最大</w:t>
      </w:r>
      <w:proofErr w:type="gramEnd"/>
      <w:r w:rsidRPr="005740E6">
        <w:rPr>
          <w:rFonts w:hint="eastAsia"/>
          <w:sz w:val="24"/>
        </w:rPr>
        <w:t>剂量（最大使用浓度和最大灌胃容量）动物无死亡而求不出</w:t>
      </w:r>
      <w:r w:rsidRPr="005740E6">
        <w:rPr>
          <w:sz w:val="24"/>
        </w:rPr>
        <w:t>LD</w:t>
      </w:r>
      <w:r w:rsidRPr="005740E6">
        <w:rPr>
          <w:sz w:val="24"/>
          <w:vertAlign w:val="subscript"/>
        </w:rPr>
        <w:t>50</w:t>
      </w:r>
      <w:r w:rsidRPr="00595D0E">
        <w:rPr>
          <w:rFonts w:hint="eastAsia"/>
          <w:sz w:val="24"/>
        </w:rPr>
        <w:t>，给药时间</w:t>
      </w:r>
      <w:r w:rsidRPr="00595D0E">
        <w:rPr>
          <w:sz w:val="24"/>
        </w:rPr>
        <w:t>&lt;14</w:t>
      </w:r>
      <w:r w:rsidRPr="00595D0E">
        <w:rPr>
          <w:rFonts w:hint="eastAsia"/>
          <w:sz w:val="24"/>
        </w:rPr>
        <w:t>天的推荐最高剂量为</w:t>
      </w:r>
      <w:r w:rsidRPr="00595D0E">
        <w:rPr>
          <w:sz w:val="24"/>
        </w:rPr>
        <w:t>2000mg/kg/</w:t>
      </w:r>
      <w:r w:rsidRPr="00595D0E">
        <w:rPr>
          <w:rFonts w:hint="eastAsia"/>
          <w:sz w:val="24"/>
        </w:rPr>
        <w:t>天，给药时间≥</w:t>
      </w:r>
      <w:r w:rsidRPr="00595D0E">
        <w:rPr>
          <w:sz w:val="24"/>
        </w:rPr>
        <w:t>14</w:t>
      </w:r>
      <w:r w:rsidRPr="00595D0E">
        <w:rPr>
          <w:rFonts w:hint="eastAsia"/>
          <w:sz w:val="24"/>
        </w:rPr>
        <w:t>天的推荐最高剂量为</w:t>
      </w:r>
      <w:r w:rsidRPr="00595D0E">
        <w:rPr>
          <w:sz w:val="24"/>
        </w:rPr>
        <w:t>1000mg/kg/</w:t>
      </w:r>
      <w:r w:rsidRPr="00595D0E">
        <w:rPr>
          <w:rFonts w:hint="eastAsia"/>
          <w:sz w:val="24"/>
        </w:rPr>
        <w:t>天。</w:t>
      </w:r>
    </w:p>
    <w:p w:rsidR="00C10218" w:rsidRPr="00595D0E" w:rsidRDefault="00C10218" w:rsidP="00C10218">
      <w:pPr>
        <w:adjustRightInd w:val="0"/>
        <w:snapToGrid w:val="0"/>
        <w:spacing w:line="360" w:lineRule="auto"/>
        <w:ind w:firstLineChars="200" w:firstLine="480"/>
        <w:jc w:val="both"/>
      </w:pPr>
      <w:r w:rsidRPr="00595D0E">
        <w:rPr>
          <w:rFonts w:hint="eastAsia"/>
          <w:sz w:val="24"/>
        </w:rPr>
        <w:t>为更充分地研究剂量</w:t>
      </w:r>
      <w:r w:rsidRPr="00595D0E">
        <w:rPr>
          <w:sz w:val="24"/>
        </w:rPr>
        <w:t>-</w:t>
      </w:r>
      <w:r w:rsidRPr="00595D0E">
        <w:rPr>
          <w:rFonts w:hint="eastAsia"/>
          <w:sz w:val="24"/>
        </w:rPr>
        <w:t>反应曲线的形状可能需要增加剂量组。</w:t>
      </w:r>
    </w:p>
    <w:p w:rsidR="00C10218" w:rsidRPr="0001104D" w:rsidRDefault="00C10218" w:rsidP="00C10218">
      <w:pPr>
        <w:adjustRightInd w:val="0"/>
        <w:snapToGrid w:val="0"/>
        <w:spacing w:line="360" w:lineRule="auto"/>
        <w:ind w:firstLineChars="200" w:firstLine="480"/>
        <w:jc w:val="both"/>
        <w:rPr>
          <w:noProof/>
          <w:sz w:val="24"/>
        </w:rPr>
      </w:pPr>
      <w:bookmarkStart w:id="3" w:name="_Hlk177705906"/>
      <w:r w:rsidRPr="0001104D">
        <w:rPr>
          <w:noProof/>
          <w:sz w:val="24"/>
        </w:rPr>
        <w:lastRenderedPageBreak/>
        <w:t>2.</w:t>
      </w:r>
      <w:r w:rsidRPr="0001104D">
        <w:rPr>
          <w:noProof/>
          <w:sz w:val="24"/>
        </w:rPr>
        <w:t>阳性对照组</w:t>
      </w:r>
    </w:p>
    <w:bookmarkEnd w:id="3"/>
    <w:p w:rsidR="00C10218" w:rsidRPr="00595D0E" w:rsidRDefault="00C10218" w:rsidP="00C10218">
      <w:pPr>
        <w:adjustRightInd w:val="0"/>
        <w:snapToGrid w:val="0"/>
        <w:spacing w:line="360" w:lineRule="auto"/>
        <w:ind w:firstLineChars="200" w:firstLine="480"/>
        <w:jc w:val="both"/>
      </w:pPr>
      <w:r w:rsidRPr="00595D0E">
        <w:rPr>
          <w:rFonts w:hint="eastAsia"/>
          <w:sz w:val="24"/>
        </w:rPr>
        <w:t>采用已知的阳性诱变剂替代</w:t>
      </w:r>
      <w:r w:rsidR="00F85915">
        <w:rPr>
          <w:rFonts w:hint="eastAsia"/>
          <w:sz w:val="24"/>
        </w:rPr>
        <w:t>受试物</w:t>
      </w:r>
      <w:r w:rsidRPr="00595D0E">
        <w:rPr>
          <w:rFonts w:hint="eastAsia"/>
          <w:sz w:val="24"/>
        </w:rPr>
        <w:t>。推荐的阳性诱变剂包括甲磺酸乙酯、甲磺酸甲酯、乙基亚硝基</w:t>
      </w:r>
      <w:proofErr w:type="gramStart"/>
      <w:r w:rsidRPr="00595D0E">
        <w:rPr>
          <w:rFonts w:hint="eastAsia"/>
          <w:sz w:val="24"/>
        </w:rPr>
        <w:t>脲</w:t>
      </w:r>
      <w:proofErr w:type="gramEnd"/>
      <w:r w:rsidRPr="00595D0E">
        <w:rPr>
          <w:rFonts w:hint="eastAsia"/>
          <w:sz w:val="24"/>
        </w:rPr>
        <w:t>、丝裂霉素</w:t>
      </w:r>
      <w:r w:rsidRPr="00595D0E">
        <w:rPr>
          <w:sz w:val="24"/>
        </w:rPr>
        <w:t>C</w:t>
      </w:r>
      <w:r w:rsidRPr="00595D0E">
        <w:rPr>
          <w:rFonts w:hint="eastAsia"/>
          <w:sz w:val="24"/>
        </w:rPr>
        <w:t>、环磷酰胺（</w:t>
      </w:r>
      <w:proofErr w:type="gramStart"/>
      <w:r w:rsidRPr="00595D0E">
        <w:rPr>
          <w:rFonts w:hint="eastAsia"/>
          <w:sz w:val="24"/>
        </w:rPr>
        <w:t>一</w:t>
      </w:r>
      <w:proofErr w:type="gramEnd"/>
      <w:r w:rsidRPr="00595D0E">
        <w:rPr>
          <w:rFonts w:hint="eastAsia"/>
          <w:sz w:val="24"/>
        </w:rPr>
        <w:t>水合物）、三亚</w:t>
      </w:r>
      <w:proofErr w:type="gramStart"/>
      <w:r w:rsidRPr="00595D0E">
        <w:rPr>
          <w:rFonts w:hint="eastAsia"/>
          <w:sz w:val="24"/>
        </w:rPr>
        <w:t>乙基蜜胺</w:t>
      </w:r>
      <w:proofErr w:type="gramEnd"/>
      <w:r w:rsidRPr="00595D0E">
        <w:rPr>
          <w:rFonts w:hint="eastAsia"/>
          <w:sz w:val="24"/>
        </w:rPr>
        <w:t>、秋水仙素或长春碱（作为非整倍体诱导剂）。</w:t>
      </w:r>
      <w:bookmarkStart w:id="4" w:name="_Hlk182489993"/>
      <w:r w:rsidRPr="00595D0E">
        <w:rPr>
          <w:rFonts w:hint="eastAsia"/>
          <w:sz w:val="24"/>
        </w:rPr>
        <w:t>阳性对照物的剂量水平应预期在体内产生高于本底值的微核，且增高程度能达到可检出的水平，又不使阅片者立即发现其为阳性对照组样本</w:t>
      </w:r>
      <w:bookmarkEnd w:id="4"/>
      <w:r w:rsidRPr="00595D0E">
        <w:rPr>
          <w:rFonts w:hint="eastAsia"/>
          <w:sz w:val="24"/>
        </w:rPr>
        <w:t>。</w:t>
      </w:r>
    </w:p>
    <w:p w:rsidR="00C10218" w:rsidRPr="0001104D" w:rsidRDefault="00C10218" w:rsidP="00C10218">
      <w:pPr>
        <w:adjustRightInd w:val="0"/>
        <w:snapToGrid w:val="0"/>
        <w:spacing w:line="360" w:lineRule="auto"/>
        <w:ind w:firstLineChars="200" w:firstLine="480"/>
        <w:jc w:val="both"/>
        <w:rPr>
          <w:noProof/>
          <w:sz w:val="24"/>
        </w:rPr>
      </w:pPr>
      <w:bookmarkStart w:id="5" w:name="_Hlk177705915"/>
      <w:r w:rsidRPr="0001104D">
        <w:rPr>
          <w:noProof/>
          <w:sz w:val="24"/>
        </w:rPr>
        <w:t>3.</w:t>
      </w:r>
      <w:r w:rsidRPr="0001104D">
        <w:rPr>
          <w:noProof/>
          <w:sz w:val="24"/>
        </w:rPr>
        <w:t>溶剂对照组</w:t>
      </w:r>
    </w:p>
    <w:bookmarkEnd w:id="5"/>
    <w:p w:rsidR="00C10218" w:rsidRPr="00595D0E" w:rsidRDefault="00C10218" w:rsidP="00C10218">
      <w:pPr>
        <w:adjustRightInd w:val="0"/>
        <w:snapToGrid w:val="0"/>
        <w:spacing w:line="360" w:lineRule="auto"/>
        <w:ind w:firstLineChars="200" w:firstLine="480"/>
        <w:jc w:val="both"/>
      </w:pPr>
      <w:r w:rsidRPr="00595D0E">
        <w:rPr>
          <w:rFonts w:hint="eastAsia"/>
          <w:sz w:val="24"/>
        </w:rPr>
        <w:t>仅含和</w:t>
      </w:r>
      <w:r w:rsidR="00F85915">
        <w:rPr>
          <w:rFonts w:hint="eastAsia"/>
          <w:sz w:val="24"/>
        </w:rPr>
        <w:t>受试</w:t>
      </w:r>
      <w:proofErr w:type="gramStart"/>
      <w:r w:rsidR="00F85915">
        <w:rPr>
          <w:rFonts w:hint="eastAsia"/>
          <w:sz w:val="24"/>
        </w:rPr>
        <w:t>物</w:t>
      </w:r>
      <w:r w:rsidRPr="00595D0E">
        <w:rPr>
          <w:rFonts w:hint="eastAsia"/>
          <w:sz w:val="24"/>
        </w:rPr>
        <w:t>组相同</w:t>
      </w:r>
      <w:proofErr w:type="gramEnd"/>
      <w:r w:rsidRPr="00595D0E">
        <w:rPr>
          <w:rFonts w:hint="eastAsia"/>
          <w:sz w:val="24"/>
        </w:rPr>
        <w:t>的溶剂，不含</w:t>
      </w:r>
      <w:r w:rsidR="00F85915">
        <w:rPr>
          <w:rFonts w:hint="eastAsia"/>
          <w:sz w:val="24"/>
        </w:rPr>
        <w:t>受试物</w:t>
      </w:r>
      <w:r w:rsidRPr="00595D0E">
        <w:rPr>
          <w:rFonts w:hint="eastAsia"/>
          <w:sz w:val="24"/>
        </w:rPr>
        <w:t>。</w:t>
      </w:r>
    </w:p>
    <w:p w:rsidR="00C10218" w:rsidRPr="0001104D" w:rsidRDefault="00C10218" w:rsidP="00C10218">
      <w:pPr>
        <w:adjustRightInd w:val="0"/>
        <w:snapToGrid w:val="0"/>
        <w:spacing w:line="360" w:lineRule="auto"/>
        <w:ind w:firstLineChars="200" w:firstLine="480"/>
        <w:jc w:val="both"/>
        <w:rPr>
          <w:noProof/>
          <w:sz w:val="24"/>
        </w:rPr>
      </w:pPr>
      <w:bookmarkStart w:id="6" w:name="_Hlk177705923"/>
      <w:r w:rsidRPr="0001104D">
        <w:rPr>
          <w:noProof/>
          <w:sz w:val="24"/>
        </w:rPr>
        <w:t>4.</w:t>
      </w:r>
      <w:r w:rsidRPr="0001104D">
        <w:rPr>
          <w:noProof/>
          <w:sz w:val="24"/>
        </w:rPr>
        <w:t>空白对照组</w:t>
      </w:r>
    </w:p>
    <w:bookmarkEnd w:id="6"/>
    <w:p w:rsidR="00C10218" w:rsidRPr="00595D0E" w:rsidRDefault="00C10218" w:rsidP="00C10218">
      <w:pPr>
        <w:adjustRightInd w:val="0"/>
        <w:snapToGrid w:val="0"/>
        <w:spacing w:line="360" w:lineRule="auto"/>
        <w:ind w:firstLineChars="200" w:firstLine="480"/>
        <w:jc w:val="both"/>
      </w:pPr>
      <w:r w:rsidRPr="00595D0E">
        <w:rPr>
          <w:rFonts w:hint="eastAsia"/>
          <w:sz w:val="24"/>
        </w:rPr>
        <w:t>如果现有资料不能证实溶剂不具有致突变性，还应设空白对照。</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bookmarkStart w:id="7" w:name="_Hlk177706575"/>
      <w:r w:rsidRPr="005740E6">
        <w:rPr>
          <w:rFonts w:ascii="黑体" w:eastAsia="黑体" w:hAnsi="黑体" w:hint="eastAsia"/>
          <w:sz w:val="24"/>
        </w:rPr>
        <w:t>（四）给药方案</w:t>
      </w:r>
    </w:p>
    <w:bookmarkEnd w:id="7"/>
    <w:p w:rsidR="00C10218" w:rsidRPr="00595D0E" w:rsidRDefault="00C10218" w:rsidP="00C10218">
      <w:pPr>
        <w:adjustRightInd w:val="0"/>
        <w:snapToGrid w:val="0"/>
        <w:spacing w:line="360" w:lineRule="auto"/>
        <w:ind w:firstLineChars="200" w:firstLine="480"/>
        <w:jc w:val="both"/>
      </w:pPr>
      <w:r w:rsidRPr="00595D0E">
        <w:rPr>
          <w:rFonts w:hint="eastAsia"/>
          <w:sz w:val="24"/>
        </w:rPr>
        <w:t>一般采用灌胃（或注射）给药，根据具体情况选择合适的给药方案，</w:t>
      </w:r>
      <w:bookmarkStart w:id="8" w:name="_Hlk182490337"/>
      <w:r w:rsidRPr="00595D0E">
        <w:rPr>
          <w:rFonts w:hint="eastAsia"/>
          <w:sz w:val="24"/>
        </w:rPr>
        <w:t>可采用单次给药（或</w:t>
      </w:r>
      <w:proofErr w:type="gramStart"/>
      <w:r w:rsidRPr="00595D0E">
        <w:rPr>
          <w:rFonts w:hint="eastAsia"/>
          <w:sz w:val="24"/>
        </w:rPr>
        <w:t>一</w:t>
      </w:r>
      <w:proofErr w:type="gramEnd"/>
      <w:r w:rsidRPr="00595D0E">
        <w:rPr>
          <w:rFonts w:hint="eastAsia"/>
          <w:sz w:val="24"/>
        </w:rPr>
        <w:t>日内以不超过</w:t>
      </w:r>
      <w:r w:rsidRPr="00595D0E">
        <w:rPr>
          <w:sz w:val="24"/>
        </w:rPr>
        <w:t>2</w:t>
      </w:r>
      <w:r>
        <w:rPr>
          <w:rFonts w:hint="eastAsia"/>
          <w:sz w:val="24"/>
        </w:rPr>
        <w:t>h</w:t>
      </w:r>
      <w:r w:rsidRPr="00595D0E">
        <w:rPr>
          <w:rFonts w:hint="eastAsia"/>
          <w:sz w:val="24"/>
        </w:rPr>
        <w:t>～</w:t>
      </w:r>
      <w:r w:rsidRPr="00595D0E">
        <w:rPr>
          <w:sz w:val="24"/>
        </w:rPr>
        <w:t>3</w:t>
      </w:r>
      <w:r>
        <w:rPr>
          <w:rFonts w:hint="eastAsia"/>
          <w:sz w:val="24"/>
        </w:rPr>
        <w:t>h</w:t>
      </w:r>
      <w:r w:rsidRPr="00595D0E">
        <w:rPr>
          <w:rFonts w:hint="eastAsia"/>
          <w:sz w:val="24"/>
        </w:rPr>
        <w:t>间隔分多次给药）或多次给药（给药间隔为</w:t>
      </w:r>
      <w:r w:rsidRPr="00595D0E">
        <w:rPr>
          <w:sz w:val="24"/>
        </w:rPr>
        <w:t>24</w:t>
      </w:r>
      <w:r>
        <w:rPr>
          <w:rFonts w:hint="eastAsia"/>
          <w:sz w:val="24"/>
        </w:rPr>
        <w:t>h</w:t>
      </w:r>
      <w:r w:rsidRPr="00595D0E">
        <w:rPr>
          <w:rFonts w:hint="eastAsia"/>
          <w:sz w:val="24"/>
        </w:rPr>
        <w:t>）</w:t>
      </w:r>
      <w:r w:rsidRPr="005740E6">
        <w:rPr>
          <w:rFonts w:hint="eastAsia"/>
          <w:sz w:val="24"/>
        </w:rPr>
        <w:t>，首选多次给药</w:t>
      </w:r>
      <w:bookmarkEnd w:id="8"/>
      <w:r w:rsidRPr="005740E6">
        <w:rPr>
          <w:rFonts w:hint="eastAsia"/>
          <w:sz w:val="24"/>
        </w:rPr>
        <w:t>。</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bookmarkStart w:id="9" w:name="_Hlk177706681"/>
      <w:r w:rsidRPr="005740E6">
        <w:rPr>
          <w:rFonts w:ascii="黑体" w:eastAsia="黑体" w:hAnsi="黑体" w:hint="eastAsia"/>
          <w:sz w:val="24"/>
        </w:rPr>
        <w:t>（五）采样</w:t>
      </w:r>
    </w:p>
    <w:bookmarkEnd w:id="9"/>
    <w:p w:rsidR="00C10218" w:rsidRPr="00595D0E" w:rsidRDefault="00C10218" w:rsidP="00C10218">
      <w:pPr>
        <w:adjustRightInd w:val="0"/>
        <w:snapToGrid w:val="0"/>
        <w:spacing w:line="360" w:lineRule="auto"/>
        <w:ind w:firstLineChars="200" w:firstLine="480"/>
        <w:jc w:val="both"/>
      </w:pPr>
      <w:r w:rsidRPr="00595D0E">
        <w:rPr>
          <w:rFonts w:hint="eastAsia"/>
          <w:sz w:val="24"/>
        </w:rPr>
        <w:t>采样时间根据靶组织中微核出现和消失的动力学特征确定。</w:t>
      </w:r>
    </w:p>
    <w:p w:rsidR="00C10218" w:rsidRPr="00595D0E" w:rsidRDefault="00C10218" w:rsidP="00C10218">
      <w:pPr>
        <w:adjustRightInd w:val="0"/>
        <w:snapToGrid w:val="0"/>
        <w:spacing w:line="360" w:lineRule="auto"/>
        <w:ind w:firstLineChars="200" w:firstLine="480"/>
        <w:jc w:val="both"/>
      </w:pPr>
      <w:r w:rsidRPr="00595D0E">
        <w:rPr>
          <w:rFonts w:hint="eastAsia"/>
          <w:sz w:val="24"/>
        </w:rPr>
        <w:t>如果采用单次给药，应至少采样</w:t>
      </w:r>
      <w:r w:rsidRPr="00595D0E">
        <w:rPr>
          <w:sz w:val="24"/>
        </w:rPr>
        <w:t>2</w:t>
      </w:r>
      <w:r w:rsidRPr="00595D0E">
        <w:rPr>
          <w:rFonts w:hint="eastAsia"/>
          <w:sz w:val="24"/>
        </w:rPr>
        <w:t>次，通常骨髓采样时间应在给药后</w:t>
      </w:r>
      <w:r w:rsidRPr="00595D0E">
        <w:rPr>
          <w:sz w:val="24"/>
        </w:rPr>
        <w:t>24</w:t>
      </w:r>
      <w:r>
        <w:rPr>
          <w:rFonts w:hint="eastAsia"/>
          <w:sz w:val="24"/>
        </w:rPr>
        <w:t>h</w:t>
      </w:r>
      <w:r w:rsidRPr="00595D0E">
        <w:rPr>
          <w:rFonts w:hint="eastAsia"/>
          <w:sz w:val="24"/>
        </w:rPr>
        <w:t>～</w:t>
      </w:r>
      <w:r w:rsidRPr="00595D0E">
        <w:rPr>
          <w:sz w:val="24"/>
        </w:rPr>
        <w:t>48h</w:t>
      </w:r>
      <w:r w:rsidRPr="00595D0E">
        <w:rPr>
          <w:rFonts w:hint="eastAsia"/>
          <w:sz w:val="24"/>
        </w:rPr>
        <w:t>内，外周血采样时间应在给药后</w:t>
      </w:r>
      <w:r w:rsidRPr="00595D0E">
        <w:rPr>
          <w:sz w:val="24"/>
        </w:rPr>
        <w:t>36</w:t>
      </w:r>
      <w:r>
        <w:rPr>
          <w:rFonts w:hint="eastAsia"/>
          <w:sz w:val="24"/>
        </w:rPr>
        <w:t>h</w:t>
      </w:r>
      <w:r w:rsidRPr="00595D0E">
        <w:rPr>
          <w:rFonts w:hint="eastAsia"/>
          <w:sz w:val="24"/>
        </w:rPr>
        <w:t>～</w:t>
      </w:r>
      <w:r w:rsidRPr="00595D0E">
        <w:rPr>
          <w:sz w:val="24"/>
        </w:rPr>
        <w:t>72h</w:t>
      </w:r>
      <w:r w:rsidRPr="00595D0E">
        <w:rPr>
          <w:rFonts w:hint="eastAsia"/>
          <w:sz w:val="24"/>
        </w:rPr>
        <w:t>内。</w:t>
      </w:r>
      <w:r w:rsidR="00F85915">
        <w:rPr>
          <w:rFonts w:hint="eastAsia"/>
          <w:sz w:val="24"/>
        </w:rPr>
        <w:t>受试物</w:t>
      </w:r>
      <w:r w:rsidRPr="00595D0E">
        <w:rPr>
          <w:rFonts w:hint="eastAsia"/>
          <w:sz w:val="24"/>
        </w:rPr>
        <w:t>第一个采样点应包括所有剂量组，第二个采样点可仅包括高剂量组。</w:t>
      </w:r>
    </w:p>
    <w:p w:rsidR="00C10218" w:rsidRPr="00595D0E" w:rsidRDefault="00C10218" w:rsidP="00C10218">
      <w:pPr>
        <w:adjustRightInd w:val="0"/>
        <w:snapToGrid w:val="0"/>
        <w:spacing w:line="360" w:lineRule="auto"/>
        <w:ind w:firstLineChars="200" w:firstLine="480"/>
        <w:jc w:val="both"/>
      </w:pPr>
      <w:r w:rsidRPr="00595D0E">
        <w:rPr>
          <w:rFonts w:hint="eastAsia"/>
          <w:sz w:val="24"/>
        </w:rPr>
        <w:t>如果给药</w:t>
      </w:r>
      <w:r w:rsidRPr="00595D0E">
        <w:rPr>
          <w:sz w:val="24"/>
        </w:rPr>
        <w:t>2</w:t>
      </w:r>
      <w:r w:rsidRPr="00595D0E">
        <w:rPr>
          <w:rFonts w:hint="eastAsia"/>
          <w:sz w:val="24"/>
        </w:rPr>
        <w:t>次（约每</w:t>
      </w:r>
      <w:r w:rsidRPr="00595D0E">
        <w:rPr>
          <w:sz w:val="24"/>
        </w:rPr>
        <w:t>24h</w:t>
      </w:r>
      <w:r w:rsidRPr="00595D0E">
        <w:rPr>
          <w:rFonts w:hint="eastAsia"/>
          <w:sz w:val="24"/>
        </w:rPr>
        <w:t>给药一次），骨髓采样时间为末次给药后</w:t>
      </w:r>
      <w:r w:rsidRPr="00595D0E">
        <w:rPr>
          <w:sz w:val="24"/>
        </w:rPr>
        <w:t>18</w:t>
      </w:r>
      <w:r>
        <w:rPr>
          <w:rFonts w:hint="eastAsia"/>
          <w:sz w:val="24"/>
        </w:rPr>
        <w:t>h</w:t>
      </w:r>
      <w:r w:rsidRPr="00595D0E">
        <w:rPr>
          <w:rFonts w:hint="eastAsia"/>
          <w:sz w:val="24"/>
        </w:rPr>
        <w:t>～</w:t>
      </w:r>
      <w:r w:rsidRPr="00595D0E">
        <w:rPr>
          <w:sz w:val="24"/>
        </w:rPr>
        <w:t>24h</w:t>
      </w:r>
      <w:r w:rsidRPr="00595D0E">
        <w:rPr>
          <w:rFonts w:hint="eastAsia"/>
          <w:sz w:val="24"/>
        </w:rPr>
        <w:t>，外周血采样时间为末次药后</w:t>
      </w:r>
      <w:r w:rsidRPr="00595D0E">
        <w:rPr>
          <w:sz w:val="24"/>
        </w:rPr>
        <w:t>36</w:t>
      </w:r>
      <w:r>
        <w:rPr>
          <w:rFonts w:hint="eastAsia"/>
          <w:sz w:val="24"/>
        </w:rPr>
        <w:t>h</w:t>
      </w:r>
      <w:r w:rsidRPr="00595D0E">
        <w:rPr>
          <w:rFonts w:hint="eastAsia"/>
          <w:sz w:val="24"/>
        </w:rPr>
        <w:t>～</w:t>
      </w:r>
      <w:r w:rsidRPr="00595D0E">
        <w:rPr>
          <w:sz w:val="24"/>
        </w:rPr>
        <w:t>48h</w:t>
      </w:r>
      <w:r w:rsidRPr="00595D0E">
        <w:rPr>
          <w:rFonts w:hint="eastAsia"/>
          <w:sz w:val="24"/>
        </w:rPr>
        <w:t>。</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如果给药</w:t>
      </w:r>
      <w:r w:rsidRPr="0001104D">
        <w:rPr>
          <w:noProof/>
          <w:kern w:val="0"/>
          <w:sz w:val="24"/>
        </w:rPr>
        <w:t>3</w:t>
      </w:r>
      <w:r w:rsidRPr="008D47BA">
        <w:rPr>
          <w:rFonts w:hint="eastAsia"/>
          <w:noProof/>
          <w:kern w:val="0"/>
          <w:sz w:val="24"/>
        </w:rPr>
        <w:t>次及</w:t>
      </w:r>
      <w:r w:rsidRPr="0001104D">
        <w:rPr>
          <w:noProof/>
          <w:kern w:val="0"/>
          <w:sz w:val="24"/>
        </w:rPr>
        <w:t>3</w:t>
      </w:r>
      <w:r w:rsidRPr="008D47BA">
        <w:rPr>
          <w:rFonts w:hint="eastAsia"/>
          <w:noProof/>
          <w:kern w:val="0"/>
          <w:sz w:val="24"/>
        </w:rPr>
        <w:t>次以上（约每</w:t>
      </w:r>
      <w:r w:rsidRPr="0001104D">
        <w:rPr>
          <w:noProof/>
          <w:kern w:val="0"/>
          <w:sz w:val="24"/>
        </w:rPr>
        <w:t>24h</w:t>
      </w:r>
      <w:r w:rsidRPr="008D47BA">
        <w:rPr>
          <w:rFonts w:hint="eastAsia"/>
          <w:noProof/>
          <w:kern w:val="0"/>
          <w:sz w:val="24"/>
        </w:rPr>
        <w:t>给药一次），骨髓采样时间为末次给药</w:t>
      </w:r>
      <w:r w:rsidRPr="0001104D">
        <w:rPr>
          <w:noProof/>
          <w:kern w:val="0"/>
          <w:sz w:val="24"/>
        </w:rPr>
        <w:t>24h</w:t>
      </w:r>
      <w:r w:rsidRPr="008D47BA">
        <w:rPr>
          <w:rFonts w:hint="eastAsia"/>
          <w:noProof/>
          <w:kern w:val="0"/>
          <w:sz w:val="24"/>
        </w:rPr>
        <w:t>内，外血周采样时间为末次给药后</w:t>
      </w:r>
      <w:r w:rsidRPr="0001104D">
        <w:rPr>
          <w:noProof/>
          <w:kern w:val="0"/>
          <w:sz w:val="24"/>
        </w:rPr>
        <w:t>40h</w:t>
      </w:r>
      <w:r w:rsidRPr="008D47BA">
        <w:rPr>
          <w:rFonts w:hint="eastAsia"/>
          <w:noProof/>
          <w:kern w:val="0"/>
          <w:sz w:val="24"/>
        </w:rPr>
        <w:t>内。</w:t>
      </w:r>
    </w:p>
    <w:p w:rsidR="00C10218" w:rsidRPr="005740E6" w:rsidRDefault="00C10218" w:rsidP="00C10218">
      <w:pPr>
        <w:adjustRightInd w:val="0"/>
        <w:snapToGrid w:val="0"/>
        <w:spacing w:line="360" w:lineRule="auto"/>
        <w:ind w:firstLineChars="200" w:firstLine="480"/>
        <w:jc w:val="both"/>
        <w:rPr>
          <w:rFonts w:ascii="黑体" w:eastAsia="黑体" w:hAnsi="黑体" w:hint="eastAsia"/>
          <w:sz w:val="24"/>
        </w:rPr>
      </w:pPr>
      <w:bookmarkStart w:id="10" w:name="_Hlk177706713"/>
      <w:r w:rsidRPr="005740E6">
        <w:rPr>
          <w:rFonts w:ascii="黑体" w:eastAsia="黑体" w:hAnsi="黑体" w:hint="eastAsia"/>
          <w:sz w:val="24"/>
        </w:rPr>
        <w:t>（六）观察指标</w:t>
      </w:r>
    </w:p>
    <w:p w:rsidR="00C10218" w:rsidRPr="0001104D" w:rsidRDefault="00C10218" w:rsidP="00C10218">
      <w:pPr>
        <w:adjustRightInd w:val="0"/>
        <w:snapToGrid w:val="0"/>
        <w:spacing w:line="360" w:lineRule="auto"/>
        <w:ind w:firstLineChars="200" w:firstLine="480"/>
        <w:jc w:val="both"/>
        <w:rPr>
          <w:noProof/>
          <w:kern w:val="0"/>
          <w:sz w:val="24"/>
        </w:rPr>
      </w:pPr>
      <w:r w:rsidRPr="008D47BA">
        <w:rPr>
          <w:sz w:val="24"/>
        </w:rPr>
        <w:t>1.</w:t>
      </w:r>
      <w:r w:rsidRPr="008D47BA">
        <w:rPr>
          <w:rFonts w:hint="eastAsia"/>
          <w:noProof/>
          <w:kern w:val="0"/>
          <w:sz w:val="24"/>
        </w:rPr>
        <w:t>临床观察</w:t>
      </w:r>
    </w:p>
    <w:bookmarkEnd w:id="10"/>
    <w:p w:rsidR="00C10218" w:rsidRPr="0001104D" w:rsidRDefault="00C10218" w:rsidP="00C10218">
      <w:pPr>
        <w:adjustRightInd w:val="0"/>
        <w:snapToGrid w:val="0"/>
        <w:spacing w:line="360" w:lineRule="auto"/>
        <w:ind w:firstLineChars="200" w:firstLine="480"/>
        <w:jc w:val="both"/>
        <w:rPr>
          <w:noProof/>
          <w:kern w:val="0"/>
          <w:sz w:val="24"/>
        </w:rPr>
      </w:pPr>
      <w:r w:rsidRPr="008D47BA">
        <w:rPr>
          <w:rFonts w:hint="eastAsia"/>
          <w:noProof/>
          <w:kern w:val="0"/>
          <w:sz w:val="24"/>
        </w:rPr>
        <w:t>每天至少进行一次一般临床观察并记录临床表现，最好在每天的同一时间进行。在给药期间，每天观察实验动物的发病和死亡情况。</w:t>
      </w:r>
    </w:p>
    <w:p w:rsidR="00C10218" w:rsidRPr="0001104D" w:rsidRDefault="00C10218" w:rsidP="00C10218">
      <w:pPr>
        <w:adjustRightInd w:val="0"/>
        <w:snapToGrid w:val="0"/>
        <w:spacing w:line="360" w:lineRule="auto"/>
        <w:ind w:firstLineChars="200" w:firstLine="480"/>
        <w:jc w:val="both"/>
        <w:rPr>
          <w:noProof/>
          <w:kern w:val="0"/>
          <w:sz w:val="24"/>
        </w:rPr>
      </w:pPr>
      <w:bookmarkStart w:id="11" w:name="_Hlk177706773"/>
      <w:r w:rsidRPr="008D47BA">
        <w:rPr>
          <w:sz w:val="24"/>
        </w:rPr>
        <w:t>2.</w:t>
      </w:r>
      <w:r w:rsidRPr="008D47BA">
        <w:rPr>
          <w:rFonts w:hint="eastAsia"/>
          <w:noProof/>
          <w:kern w:val="0"/>
          <w:sz w:val="24"/>
        </w:rPr>
        <w:t>细胞分析</w:t>
      </w:r>
    </w:p>
    <w:p w:rsidR="00C10218" w:rsidRPr="00595D0E" w:rsidRDefault="00C10218" w:rsidP="00C10218">
      <w:pPr>
        <w:adjustRightInd w:val="0"/>
        <w:snapToGrid w:val="0"/>
        <w:spacing w:line="360" w:lineRule="auto"/>
        <w:ind w:firstLineChars="200" w:firstLine="480"/>
        <w:jc w:val="both"/>
      </w:pPr>
      <w:bookmarkStart w:id="12" w:name="_Hlk177706789"/>
      <w:bookmarkEnd w:id="11"/>
      <w:r w:rsidRPr="00595D0E">
        <w:rPr>
          <w:rFonts w:hint="eastAsia"/>
          <w:sz w:val="24"/>
        </w:rPr>
        <w:t>动物处死后迅速取股骨或胫骨，获取骨髓细胞，或从尾静脉或其他适当的血管采集外周血样品，制片、染色后，阅片分析。</w:t>
      </w:r>
      <w:bookmarkEnd w:id="12"/>
      <w:r w:rsidRPr="00595D0E">
        <w:rPr>
          <w:rFonts w:hint="eastAsia"/>
          <w:sz w:val="24"/>
        </w:rPr>
        <w:t>可用姬</w:t>
      </w:r>
      <w:proofErr w:type="gramStart"/>
      <w:r w:rsidRPr="00595D0E">
        <w:rPr>
          <w:rFonts w:hint="eastAsia"/>
          <w:sz w:val="24"/>
        </w:rPr>
        <w:t>姆萨</w:t>
      </w:r>
      <w:proofErr w:type="gramEnd"/>
      <w:r w:rsidRPr="00595D0E">
        <w:rPr>
          <w:rFonts w:hint="eastAsia"/>
          <w:sz w:val="24"/>
        </w:rPr>
        <w:t>染色，也可用</w:t>
      </w:r>
      <w:r w:rsidRPr="00595D0E">
        <w:rPr>
          <w:sz w:val="24"/>
        </w:rPr>
        <w:t>DNA</w:t>
      </w:r>
      <w:r w:rsidRPr="00595D0E">
        <w:rPr>
          <w:rFonts w:hint="eastAsia"/>
          <w:sz w:val="24"/>
        </w:rPr>
        <w:lastRenderedPageBreak/>
        <w:t>特异性染料（如吖啶橙或</w:t>
      </w:r>
      <w:r w:rsidRPr="00595D0E">
        <w:rPr>
          <w:sz w:val="24"/>
        </w:rPr>
        <w:t>Hoechst 33258</w:t>
      </w:r>
      <w:r w:rsidRPr="00595D0E">
        <w:rPr>
          <w:rFonts w:hint="eastAsia"/>
          <w:sz w:val="24"/>
        </w:rPr>
        <w:t>加</w:t>
      </w:r>
      <w:r w:rsidRPr="00595D0E">
        <w:rPr>
          <w:sz w:val="24"/>
        </w:rPr>
        <w:t>Pyronin-Y</w:t>
      </w:r>
      <w:r w:rsidRPr="00595D0E">
        <w:rPr>
          <w:rFonts w:hint="eastAsia"/>
          <w:sz w:val="24"/>
        </w:rPr>
        <w:t>）。使用</w:t>
      </w:r>
      <w:r w:rsidRPr="00595D0E">
        <w:rPr>
          <w:sz w:val="24"/>
        </w:rPr>
        <w:t>DNA</w:t>
      </w:r>
      <w:r w:rsidRPr="00595D0E">
        <w:rPr>
          <w:rFonts w:hint="eastAsia"/>
          <w:sz w:val="24"/>
        </w:rPr>
        <w:t>特异性染料可排除一些与使用非</w:t>
      </w:r>
      <w:r w:rsidRPr="00595D0E">
        <w:rPr>
          <w:sz w:val="24"/>
        </w:rPr>
        <w:t>DNA</w:t>
      </w:r>
      <w:r w:rsidRPr="00595D0E">
        <w:rPr>
          <w:rFonts w:hint="eastAsia"/>
          <w:sz w:val="24"/>
        </w:rPr>
        <w:t>特异性染料相关的人为假象。如果需要鉴别</w:t>
      </w:r>
      <w:r w:rsidR="00F85915">
        <w:rPr>
          <w:rFonts w:hint="eastAsia"/>
          <w:sz w:val="24"/>
        </w:rPr>
        <w:t>受试物</w:t>
      </w:r>
      <w:r w:rsidRPr="00595D0E">
        <w:rPr>
          <w:rFonts w:hint="eastAsia"/>
          <w:sz w:val="24"/>
        </w:rPr>
        <w:t>是染色体断裂剂还是非整倍体诱变剂，可用原位免疫荧光杂交技术（</w:t>
      </w:r>
      <w:proofErr w:type="spellStart"/>
      <w:r>
        <w:rPr>
          <w:rFonts w:hint="eastAsia"/>
          <w:sz w:val="24"/>
        </w:rPr>
        <w:t>F</w:t>
      </w:r>
      <w:r w:rsidRPr="00595D0E">
        <w:rPr>
          <w:sz w:val="24"/>
        </w:rPr>
        <w:t>luorescenceinsitu</w:t>
      </w:r>
      <w:proofErr w:type="spellEnd"/>
      <w:r w:rsidRPr="00595D0E">
        <w:rPr>
          <w:sz w:val="24"/>
        </w:rPr>
        <w:t xml:space="preserve"> </w:t>
      </w:r>
      <w:proofErr w:type="spellStart"/>
      <w:r w:rsidRPr="00595D0E">
        <w:rPr>
          <w:sz w:val="24"/>
        </w:rPr>
        <w:t>hybridisation</w:t>
      </w:r>
      <w:proofErr w:type="spellEnd"/>
      <w:r w:rsidRPr="00595D0E">
        <w:rPr>
          <w:rFonts w:hint="eastAsia"/>
          <w:sz w:val="24"/>
        </w:rPr>
        <w:t>，</w:t>
      </w:r>
      <w:r w:rsidRPr="00595D0E">
        <w:rPr>
          <w:sz w:val="24"/>
        </w:rPr>
        <w:t>FISH</w:t>
      </w:r>
      <w:r w:rsidRPr="00595D0E">
        <w:rPr>
          <w:rFonts w:hint="eastAsia"/>
          <w:sz w:val="24"/>
        </w:rPr>
        <w:t>）或引物原位标记等方法。</w:t>
      </w:r>
    </w:p>
    <w:p w:rsidR="00C10218" w:rsidRPr="004C243E" w:rsidRDefault="00C10218" w:rsidP="00C10218">
      <w:pPr>
        <w:adjustRightInd w:val="0"/>
        <w:snapToGrid w:val="0"/>
        <w:spacing w:line="360" w:lineRule="auto"/>
        <w:ind w:firstLineChars="200" w:firstLine="480"/>
        <w:jc w:val="both"/>
        <w:rPr>
          <w:color w:val="000000" w:themeColor="text1"/>
        </w:rPr>
      </w:pPr>
      <w:r w:rsidRPr="00595D0E">
        <w:rPr>
          <w:rFonts w:hint="eastAsia"/>
          <w:sz w:val="24"/>
        </w:rPr>
        <w:t>每只动物至少计数</w:t>
      </w:r>
      <w:r w:rsidRPr="00595D0E">
        <w:rPr>
          <w:sz w:val="24"/>
        </w:rPr>
        <w:t>500</w:t>
      </w:r>
      <w:r w:rsidRPr="00595D0E">
        <w:rPr>
          <w:rFonts w:hint="eastAsia"/>
          <w:sz w:val="24"/>
        </w:rPr>
        <w:t>个（骨髓）或</w:t>
      </w:r>
      <w:r w:rsidRPr="00595D0E">
        <w:rPr>
          <w:sz w:val="24"/>
        </w:rPr>
        <w:t>2000</w:t>
      </w:r>
      <w:r w:rsidRPr="00595D0E">
        <w:rPr>
          <w:rFonts w:hint="eastAsia"/>
          <w:sz w:val="24"/>
        </w:rPr>
        <w:t>个（外周血）红细胞以确定未成熟红细胞</w:t>
      </w:r>
      <w:r w:rsidRPr="00595D0E">
        <w:rPr>
          <w:sz w:val="24"/>
        </w:rPr>
        <w:t>[</w:t>
      </w:r>
      <w:r w:rsidRPr="00595D0E">
        <w:rPr>
          <w:rFonts w:hint="eastAsia"/>
          <w:sz w:val="24"/>
        </w:rPr>
        <w:t>嗜多染红细胞（</w:t>
      </w:r>
      <w:r w:rsidRPr="00595D0E">
        <w:rPr>
          <w:sz w:val="24"/>
        </w:rPr>
        <w:t>PCE</w:t>
      </w:r>
      <w:r w:rsidRPr="00595D0E">
        <w:rPr>
          <w:rFonts w:hint="eastAsia"/>
          <w:sz w:val="24"/>
        </w:rPr>
        <w:t>）或网织红细胞（</w:t>
      </w:r>
      <w:r w:rsidRPr="00595D0E">
        <w:rPr>
          <w:sz w:val="24"/>
        </w:rPr>
        <w:t>RET</w:t>
      </w:r>
      <w:r w:rsidRPr="00595D0E">
        <w:rPr>
          <w:rFonts w:hint="eastAsia"/>
          <w:sz w:val="24"/>
        </w:rPr>
        <w:t>）</w:t>
      </w:r>
      <w:r w:rsidRPr="00595D0E">
        <w:rPr>
          <w:sz w:val="24"/>
        </w:rPr>
        <w:t>]</w:t>
      </w:r>
      <w:r w:rsidRPr="00595D0E">
        <w:rPr>
          <w:rFonts w:hint="eastAsia"/>
          <w:sz w:val="24"/>
        </w:rPr>
        <w:t>占总红细胞</w:t>
      </w:r>
      <w:r w:rsidRPr="00595D0E">
        <w:rPr>
          <w:sz w:val="24"/>
        </w:rPr>
        <w:t>[</w:t>
      </w:r>
      <w:r w:rsidRPr="00595D0E">
        <w:rPr>
          <w:rFonts w:hint="eastAsia"/>
          <w:sz w:val="24"/>
        </w:rPr>
        <w:t>未成熟红细胞和正染红细胞（</w:t>
      </w:r>
      <w:r w:rsidRPr="00595D0E">
        <w:rPr>
          <w:sz w:val="24"/>
        </w:rPr>
        <w:t>NCE</w:t>
      </w:r>
      <w:r w:rsidRPr="00595D0E">
        <w:rPr>
          <w:rFonts w:hint="eastAsia"/>
          <w:sz w:val="24"/>
        </w:rPr>
        <w:t>）</w:t>
      </w:r>
      <w:r w:rsidRPr="00595D0E">
        <w:rPr>
          <w:sz w:val="24"/>
        </w:rPr>
        <w:t>]</w:t>
      </w:r>
      <w:r w:rsidRPr="00595D0E">
        <w:rPr>
          <w:rFonts w:hint="eastAsia"/>
          <w:sz w:val="24"/>
        </w:rPr>
        <w:t>的比例；每只动物至少计数</w:t>
      </w:r>
      <w:r w:rsidRPr="00595D0E">
        <w:rPr>
          <w:sz w:val="24"/>
        </w:rPr>
        <w:t>4000</w:t>
      </w:r>
      <w:r w:rsidRPr="00595D0E">
        <w:rPr>
          <w:rFonts w:hint="eastAsia"/>
          <w:sz w:val="24"/>
        </w:rPr>
        <w:t>个未成熟红细胞，观察并计数其中含有微核的未成熟红细胞，以测定未成熟红细胞的微核率（一个细胞中出现两个或多个微核时仍按一个微核细胞计算）。若阴性对照历史数据库的微核率背景值低于</w:t>
      </w:r>
      <w:r w:rsidRPr="00595D0E">
        <w:rPr>
          <w:sz w:val="24"/>
        </w:rPr>
        <w:t>0.1%</w:t>
      </w:r>
      <w:r w:rsidRPr="00595D0E">
        <w:rPr>
          <w:rFonts w:hint="eastAsia"/>
          <w:sz w:val="24"/>
        </w:rPr>
        <w:t>时，</w:t>
      </w:r>
      <w:r w:rsidRPr="004C243E">
        <w:rPr>
          <w:rFonts w:hint="eastAsia"/>
          <w:color w:val="000000" w:themeColor="text1"/>
          <w:sz w:val="24"/>
        </w:rPr>
        <w:t>需要计数更多的未成熟红细胞。给药组未成熟红细胞占总红细胞的比例不应低于阴性对照组的</w:t>
      </w:r>
      <w:r w:rsidRPr="004C243E">
        <w:rPr>
          <w:color w:val="000000" w:themeColor="text1"/>
          <w:sz w:val="24"/>
        </w:rPr>
        <w:t>20%</w:t>
      </w:r>
      <w:r w:rsidRPr="004C243E">
        <w:rPr>
          <w:rFonts w:hint="eastAsia"/>
          <w:color w:val="000000" w:themeColor="text1"/>
          <w:sz w:val="24"/>
        </w:rPr>
        <w:t>。如果给药时间在</w:t>
      </w:r>
      <w:r w:rsidRPr="004C243E">
        <w:rPr>
          <w:color w:val="000000" w:themeColor="text1"/>
          <w:sz w:val="24"/>
        </w:rPr>
        <w:t>4</w:t>
      </w:r>
      <w:r w:rsidRPr="004C243E">
        <w:rPr>
          <w:rFonts w:hint="eastAsia"/>
          <w:color w:val="000000" w:themeColor="text1"/>
          <w:sz w:val="24"/>
        </w:rPr>
        <w:t>周以上，可以直接计数</w:t>
      </w:r>
      <w:r w:rsidRPr="004C243E">
        <w:rPr>
          <w:color w:val="000000" w:themeColor="text1"/>
          <w:sz w:val="24"/>
        </w:rPr>
        <w:t>4000</w:t>
      </w:r>
      <w:r w:rsidRPr="004C243E">
        <w:rPr>
          <w:rFonts w:hint="eastAsia"/>
          <w:color w:val="000000" w:themeColor="text1"/>
          <w:sz w:val="24"/>
        </w:rPr>
        <w:t>个红细胞中的微核率。</w:t>
      </w:r>
    </w:p>
    <w:p w:rsidR="00C10218" w:rsidRPr="004C243E" w:rsidRDefault="00C10218" w:rsidP="00C10218">
      <w:pPr>
        <w:adjustRightInd w:val="0"/>
        <w:snapToGrid w:val="0"/>
        <w:spacing w:line="360" w:lineRule="auto"/>
        <w:ind w:firstLineChars="200" w:firstLine="480"/>
        <w:jc w:val="both"/>
        <w:rPr>
          <w:color w:val="000000" w:themeColor="text1"/>
        </w:rPr>
      </w:pPr>
      <w:r w:rsidRPr="004C243E">
        <w:rPr>
          <w:rFonts w:hint="eastAsia"/>
          <w:color w:val="000000" w:themeColor="text1"/>
          <w:sz w:val="24"/>
        </w:rPr>
        <w:t>也可采用已经过充分验证的</w:t>
      </w:r>
      <w:bookmarkStart w:id="13" w:name="_Hlk177680230"/>
      <w:r w:rsidRPr="004C243E">
        <w:rPr>
          <w:rFonts w:hint="eastAsia"/>
          <w:color w:val="000000" w:themeColor="text1"/>
          <w:sz w:val="24"/>
        </w:rPr>
        <w:t>自动化分析系统</w:t>
      </w:r>
      <w:bookmarkEnd w:id="13"/>
      <w:r w:rsidRPr="004C243E">
        <w:rPr>
          <w:rFonts w:hint="eastAsia"/>
          <w:color w:val="000000" w:themeColor="text1"/>
          <w:sz w:val="24"/>
        </w:rPr>
        <w:t>（如图像分析系统、流式细胞术、激光扫描细胞计数仪）对微核进行检测。当计数</w:t>
      </w:r>
      <w:r w:rsidRPr="004C243E">
        <w:rPr>
          <w:color w:val="000000" w:themeColor="text1"/>
          <w:sz w:val="24"/>
        </w:rPr>
        <w:t>CD71</w:t>
      </w:r>
      <w:r w:rsidRPr="004C243E">
        <w:rPr>
          <w:color w:val="000000" w:themeColor="text1"/>
          <w:sz w:val="24"/>
          <w:vertAlign w:val="superscript"/>
        </w:rPr>
        <w:t>+</w:t>
      </w:r>
      <w:r w:rsidRPr="004C243E">
        <w:rPr>
          <w:rFonts w:hint="eastAsia"/>
          <w:color w:val="000000" w:themeColor="text1"/>
          <w:sz w:val="24"/>
        </w:rPr>
        <w:t>未成熟细胞时，给药组未成熟细胞占总红细胞的比例不得低于阴性对照组的</w:t>
      </w:r>
      <w:r w:rsidRPr="004C243E">
        <w:rPr>
          <w:color w:val="000000" w:themeColor="text1"/>
          <w:sz w:val="24"/>
        </w:rPr>
        <w:t>5%</w:t>
      </w:r>
      <w:r w:rsidRPr="004C243E">
        <w:rPr>
          <w:rFonts w:hint="eastAsia"/>
          <w:color w:val="000000" w:themeColor="text1"/>
          <w:sz w:val="24"/>
        </w:rPr>
        <w:t>。</w:t>
      </w:r>
    </w:p>
    <w:p w:rsidR="00C10218" w:rsidRPr="00B92AD1" w:rsidRDefault="00C10218" w:rsidP="00C10218">
      <w:pPr>
        <w:adjustRightInd w:val="0"/>
        <w:snapToGrid w:val="0"/>
        <w:spacing w:line="360" w:lineRule="auto"/>
        <w:ind w:firstLineChars="200" w:firstLine="480"/>
        <w:jc w:val="both"/>
        <w:rPr>
          <w:rFonts w:ascii="黑体" w:eastAsia="黑体" w:hAnsi="黑体" w:hint="eastAsia"/>
          <w:sz w:val="24"/>
        </w:rPr>
      </w:pPr>
      <w:r w:rsidRPr="00B92AD1">
        <w:rPr>
          <w:rFonts w:ascii="黑体" w:eastAsia="黑体" w:hAnsi="黑体" w:hint="eastAsia"/>
          <w:sz w:val="24"/>
        </w:rPr>
        <w:t>（七）结果分析及评价</w:t>
      </w:r>
    </w:p>
    <w:p w:rsidR="00C10218" w:rsidRPr="00B92AD1" w:rsidRDefault="00C10218" w:rsidP="00C10218">
      <w:pPr>
        <w:adjustRightInd w:val="0"/>
        <w:snapToGrid w:val="0"/>
        <w:spacing w:line="360" w:lineRule="auto"/>
        <w:ind w:firstLineChars="200" w:firstLine="480"/>
        <w:jc w:val="both"/>
        <w:rPr>
          <w:noProof/>
          <w:kern w:val="0"/>
          <w:sz w:val="24"/>
          <w:lang w:val="x-none"/>
        </w:rPr>
      </w:pPr>
      <w:r w:rsidRPr="00B92AD1">
        <w:rPr>
          <w:rFonts w:hint="eastAsia"/>
          <w:noProof/>
          <w:kern w:val="0"/>
          <w:sz w:val="24"/>
        </w:rPr>
        <w:t>结果中应描述各剂量组的毒性大小，包括一般症状、死亡情况等，以及</w:t>
      </w:r>
      <w:r w:rsidRPr="00B92AD1">
        <w:rPr>
          <w:noProof/>
          <w:kern w:val="0"/>
          <w:sz w:val="24"/>
        </w:rPr>
        <w:t>PCE/</w:t>
      </w:r>
      <w:r w:rsidRPr="00B92AD1">
        <w:rPr>
          <w:rFonts w:hint="eastAsia"/>
          <w:noProof/>
          <w:kern w:val="0"/>
          <w:sz w:val="24"/>
        </w:rPr>
        <w:t>（</w:t>
      </w:r>
      <w:r w:rsidRPr="00B92AD1">
        <w:rPr>
          <w:noProof/>
          <w:kern w:val="0"/>
          <w:sz w:val="24"/>
        </w:rPr>
        <w:t>PCE+NCE</w:t>
      </w:r>
      <w:r w:rsidRPr="00B92AD1">
        <w:rPr>
          <w:rFonts w:hint="eastAsia"/>
          <w:noProof/>
          <w:kern w:val="0"/>
          <w:sz w:val="24"/>
        </w:rPr>
        <w:t>）或</w:t>
      </w:r>
      <w:r w:rsidRPr="00B92AD1">
        <w:rPr>
          <w:noProof/>
          <w:kern w:val="0"/>
          <w:sz w:val="24"/>
        </w:rPr>
        <w:t>RET/</w:t>
      </w:r>
      <w:r w:rsidRPr="00B92AD1">
        <w:rPr>
          <w:rFonts w:hint="eastAsia"/>
          <w:noProof/>
          <w:kern w:val="0"/>
          <w:sz w:val="24"/>
        </w:rPr>
        <w:t>（</w:t>
      </w:r>
      <w:r w:rsidRPr="00B92AD1">
        <w:rPr>
          <w:noProof/>
          <w:kern w:val="0"/>
          <w:sz w:val="24"/>
        </w:rPr>
        <w:t>RET+NCE</w:t>
      </w:r>
      <w:r w:rsidRPr="00B92AD1">
        <w:rPr>
          <w:rFonts w:hint="eastAsia"/>
          <w:noProof/>
          <w:kern w:val="0"/>
          <w:sz w:val="24"/>
        </w:rPr>
        <w:t>）的比例。主要评价指标为嗜多染细胞微核率或网织红细胞微核率。</w:t>
      </w:r>
      <w:bookmarkStart w:id="14" w:name="_Hlk177681172"/>
      <w:r w:rsidRPr="00B92AD1">
        <w:rPr>
          <w:rFonts w:hint="eastAsia"/>
          <w:noProof/>
          <w:kern w:val="0"/>
          <w:sz w:val="24"/>
        </w:rPr>
        <w:t>每组雌、雄动物分别计算未成熟红细胞微核率的均值和标准差。</w:t>
      </w:r>
      <w:bookmarkStart w:id="15" w:name="_Hlk182494740"/>
      <w:r w:rsidRPr="00B92AD1">
        <w:rPr>
          <w:rFonts w:hint="eastAsia"/>
          <w:noProof/>
          <w:kern w:val="0"/>
          <w:sz w:val="24"/>
        </w:rPr>
        <w:t>雌、雄动物之间无明显的性别差异时可合并计算结果，否则应分别进行计算</w:t>
      </w:r>
      <w:bookmarkEnd w:id="15"/>
      <w:r w:rsidRPr="00B92AD1">
        <w:rPr>
          <w:rFonts w:hint="eastAsia"/>
          <w:noProof/>
          <w:kern w:val="0"/>
          <w:sz w:val="24"/>
        </w:rPr>
        <w:t>。</w:t>
      </w:r>
      <w:bookmarkStart w:id="16" w:name="OLE_LINK8"/>
      <w:r w:rsidRPr="00B92AD1">
        <w:rPr>
          <w:rFonts w:hint="eastAsia"/>
          <w:noProof/>
          <w:kern w:val="0"/>
          <w:sz w:val="24"/>
        </w:rPr>
        <w:t>可用泊松（</w:t>
      </w:r>
      <w:r w:rsidRPr="00B92AD1">
        <w:rPr>
          <w:noProof/>
          <w:kern w:val="0"/>
          <w:sz w:val="24"/>
        </w:rPr>
        <w:t>Poisson</w:t>
      </w:r>
      <w:r w:rsidRPr="00B92AD1">
        <w:rPr>
          <w:rFonts w:hint="eastAsia"/>
          <w:noProof/>
          <w:kern w:val="0"/>
          <w:sz w:val="24"/>
        </w:rPr>
        <w:t>）分布、</w:t>
      </w:r>
      <w:r w:rsidRPr="00B92AD1">
        <w:rPr>
          <w:noProof/>
          <w:kern w:val="0"/>
          <w:sz w:val="24"/>
        </w:rPr>
        <w:t>μ</w:t>
      </w:r>
      <w:r w:rsidRPr="00B92AD1">
        <w:rPr>
          <w:rFonts w:hint="eastAsia"/>
          <w:noProof/>
          <w:kern w:val="0"/>
          <w:sz w:val="24"/>
        </w:rPr>
        <w:t>检验或其他适当的统计学方法对所得试验数据进行统计学分析。</w:t>
      </w:r>
    </w:p>
    <w:bookmarkEnd w:id="14"/>
    <w:bookmarkEnd w:id="16"/>
    <w:p w:rsidR="00F94B6D" w:rsidRDefault="00C10218" w:rsidP="00F94B6D">
      <w:pPr>
        <w:adjustRightInd w:val="0"/>
        <w:snapToGrid w:val="0"/>
        <w:spacing w:line="360" w:lineRule="auto"/>
        <w:ind w:firstLineChars="200" w:firstLine="480"/>
        <w:jc w:val="both"/>
        <w:rPr>
          <w:noProof/>
          <w:kern w:val="0"/>
          <w:sz w:val="24"/>
        </w:rPr>
      </w:pPr>
      <w:r w:rsidRPr="00B92AD1">
        <w:rPr>
          <w:rFonts w:hint="eastAsia"/>
          <w:noProof/>
          <w:kern w:val="0"/>
          <w:sz w:val="24"/>
        </w:rPr>
        <w:t>应以表格形式列出每只动物数据，包括一般症状、死亡情况、未成熟红细胞数、含微核的未成熟红细胞数以及</w:t>
      </w:r>
      <w:r w:rsidRPr="00B92AD1">
        <w:rPr>
          <w:noProof/>
          <w:kern w:val="0"/>
          <w:sz w:val="24"/>
        </w:rPr>
        <w:t>PCE/</w:t>
      </w:r>
      <w:r w:rsidRPr="00B92AD1">
        <w:rPr>
          <w:rFonts w:hint="eastAsia"/>
          <w:noProof/>
          <w:kern w:val="0"/>
          <w:sz w:val="24"/>
        </w:rPr>
        <w:t>（</w:t>
      </w:r>
      <w:r w:rsidRPr="00B92AD1">
        <w:rPr>
          <w:noProof/>
          <w:kern w:val="0"/>
          <w:sz w:val="24"/>
        </w:rPr>
        <w:t>PCE+NCE</w:t>
      </w:r>
      <w:r w:rsidRPr="00B92AD1">
        <w:rPr>
          <w:rFonts w:hint="eastAsia"/>
          <w:noProof/>
          <w:kern w:val="0"/>
          <w:sz w:val="24"/>
        </w:rPr>
        <w:t>）或</w:t>
      </w:r>
      <w:r w:rsidRPr="00B92AD1">
        <w:rPr>
          <w:noProof/>
          <w:kern w:val="0"/>
          <w:sz w:val="24"/>
        </w:rPr>
        <w:t>RET/</w:t>
      </w:r>
      <w:r w:rsidRPr="00B92AD1">
        <w:rPr>
          <w:rFonts w:hint="eastAsia"/>
          <w:noProof/>
          <w:kern w:val="0"/>
          <w:sz w:val="24"/>
        </w:rPr>
        <w:t>（</w:t>
      </w:r>
      <w:r w:rsidRPr="00B92AD1">
        <w:rPr>
          <w:noProof/>
          <w:kern w:val="0"/>
          <w:sz w:val="24"/>
        </w:rPr>
        <w:t>RET+NCE</w:t>
      </w:r>
      <w:r w:rsidRPr="00B92AD1">
        <w:rPr>
          <w:rFonts w:hint="eastAsia"/>
          <w:noProof/>
          <w:kern w:val="0"/>
          <w:sz w:val="24"/>
        </w:rPr>
        <w:t>）的比例等。</w:t>
      </w:r>
      <w:r w:rsidR="00F94B6D">
        <w:rPr>
          <w:rFonts w:hint="eastAsia"/>
          <w:noProof/>
          <w:kern w:val="0"/>
          <w:sz w:val="24"/>
        </w:rPr>
        <w:t>同时，提供</w:t>
      </w:r>
      <w:r w:rsidR="00F94B6D" w:rsidRPr="00F94B6D">
        <w:rPr>
          <w:rFonts w:hint="eastAsia"/>
          <w:noProof/>
          <w:kern w:val="0"/>
          <w:sz w:val="24"/>
        </w:rPr>
        <w:t>本实验室历史性的阴性对照和阳性对照资料，包括范围、均值、标准差、</w:t>
      </w:r>
      <w:r w:rsidR="00F94B6D" w:rsidRPr="00F94B6D">
        <w:rPr>
          <w:rFonts w:hint="eastAsia"/>
          <w:noProof/>
          <w:kern w:val="0"/>
          <w:sz w:val="24"/>
        </w:rPr>
        <w:t>95%</w:t>
      </w:r>
      <w:r w:rsidR="00F94B6D" w:rsidRPr="00F94B6D">
        <w:rPr>
          <w:rFonts w:hint="eastAsia"/>
          <w:noProof/>
          <w:kern w:val="0"/>
          <w:sz w:val="24"/>
        </w:rPr>
        <w:t>置信区间、样品数和时间等。</w:t>
      </w:r>
    </w:p>
    <w:p w:rsidR="000946E8" w:rsidRPr="004C243E" w:rsidRDefault="000946E8" w:rsidP="000946E8">
      <w:pPr>
        <w:adjustRightInd w:val="0"/>
        <w:snapToGrid w:val="0"/>
        <w:spacing w:line="360" w:lineRule="auto"/>
        <w:ind w:firstLineChars="200" w:firstLine="480"/>
        <w:jc w:val="both"/>
        <w:rPr>
          <w:noProof/>
          <w:kern w:val="0"/>
          <w:sz w:val="24"/>
        </w:rPr>
      </w:pPr>
      <w:r w:rsidRPr="000946E8">
        <w:rPr>
          <w:rFonts w:hint="eastAsia"/>
          <w:noProof/>
          <w:kern w:val="0"/>
          <w:sz w:val="24"/>
        </w:rPr>
        <w:t>在阴性对照数据可以添加至本实验室的历史对照数据库中，阳性对照在历史阳性对照范围内且较阴性对照微核率显著升高前提下，</w:t>
      </w:r>
      <w:r w:rsidRPr="004C243E">
        <w:rPr>
          <w:rFonts w:hint="eastAsia"/>
          <w:noProof/>
          <w:kern w:val="0"/>
          <w:sz w:val="24"/>
        </w:rPr>
        <w:t>若同时满足以下情况可判定为阳性结果，若均不满足则判定为阴性结果：</w:t>
      </w:r>
    </w:p>
    <w:p w:rsidR="000946E8" w:rsidRPr="004C243E" w:rsidRDefault="000946E8" w:rsidP="000946E8">
      <w:pPr>
        <w:adjustRightInd w:val="0"/>
        <w:snapToGrid w:val="0"/>
        <w:spacing w:line="360" w:lineRule="auto"/>
        <w:ind w:firstLineChars="200" w:firstLine="480"/>
        <w:jc w:val="both"/>
        <w:rPr>
          <w:noProof/>
          <w:kern w:val="0"/>
          <w:sz w:val="24"/>
        </w:rPr>
      </w:pPr>
      <w:r w:rsidRPr="004C243E">
        <w:rPr>
          <w:rFonts w:hint="eastAsia"/>
          <w:noProof/>
          <w:kern w:val="0"/>
          <w:sz w:val="24"/>
        </w:rPr>
        <w:t>（</w:t>
      </w:r>
      <w:r w:rsidRPr="004C243E">
        <w:rPr>
          <w:noProof/>
          <w:kern w:val="0"/>
          <w:sz w:val="24"/>
        </w:rPr>
        <w:t>1</w:t>
      </w:r>
      <w:r w:rsidRPr="004C243E">
        <w:rPr>
          <w:rFonts w:hint="eastAsia"/>
          <w:noProof/>
          <w:kern w:val="0"/>
          <w:sz w:val="24"/>
        </w:rPr>
        <w:t>）</w:t>
      </w:r>
      <w:bookmarkStart w:id="17" w:name="_Hlk172575052"/>
      <w:r w:rsidRPr="004C243E">
        <w:rPr>
          <w:rFonts w:hint="eastAsia"/>
          <w:noProof/>
          <w:kern w:val="0"/>
          <w:sz w:val="24"/>
        </w:rPr>
        <w:t>与阴性对照相比，</w:t>
      </w:r>
      <w:bookmarkEnd w:id="17"/>
      <w:r w:rsidR="0098404F">
        <w:rPr>
          <w:rFonts w:hint="eastAsia"/>
          <w:noProof/>
          <w:kern w:val="0"/>
          <w:sz w:val="24"/>
        </w:rPr>
        <w:t>受试物</w:t>
      </w:r>
      <w:r w:rsidRPr="004C243E">
        <w:rPr>
          <w:rFonts w:hint="eastAsia"/>
          <w:noProof/>
          <w:kern w:val="0"/>
          <w:sz w:val="24"/>
        </w:rPr>
        <w:t>至少一个剂量组微核率显著升高；</w:t>
      </w:r>
    </w:p>
    <w:p w:rsidR="000946E8" w:rsidRPr="004C243E" w:rsidRDefault="000946E8" w:rsidP="000946E8">
      <w:pPr>
        <w:adjustRightInd w:val="0"/>
        <w:snapToGrid w:val="0"/>
        <w:spacing w:line="360" w:lineRule="auto"/>
        <w:ind w:firstLineChars="200" w:firstLine="480"/>
        <w:jc w:val="both"/>
        <w:rPr>
          <w:noProof/>
          <w:kern w:val="0"/>
          <w:sz w:val="24"/>
        </w:rPr>
      </w:pPr>
      <w:r w:rsidRPr="004C243E">
        <w:rPr>
          <w:rFonts w:hint="eastAsia"/>
          <w:noProof/>
          <w:kern w:val="0"/>
          <w:sz w:val="24"/>
        </w:rPr>
        <w:lastRenderedPageBreak/>
        <w:t>（</w:t>
      </w:r>
      <w:r w:rsidRPr="004C243E">
        <w:rPr>
          <w:noProof/>
          <w:kern w:val="0"/>
          <w:sz w:val="24"/>
        </w:rPr>
        <w:t>2</w:t>
      </w:r>
      <w:r w:rsidRPr="004C243E">
        <w:rPr>
          <w:rFonts w:hint="eastAsia"/>
          <w:noProof/>
          <w:kern w:val="0"/>
          <w:sz w:val="24"/>
        </w:rPr>
        <w:t>）该增加在至少一个采样点具有剂量依赖性；</w:t>
      </w:r>
    </w:p>
    <w:p w:rsidR="000946E8" w:rsidRPr="00B92AD1" w:rsidRDefault="000946E8" w:rsidP="000946E8">
      <w:pPr>
        <w:adjustRightInd w:val="0"/>
        <w:snapToGrid w:val="0"/>
        <w:spacing w:line="360" w:lineRule="auto"/>
        <w:ind w:firstLineChars="200" w:firstLine="480"/>
        <w:jc w:val="both"/>
        <w:rPr>
          <w:noProof/>
          <w:kern w:val="0"/>
          <w:sz w:val="24"/>
        </w:rPr>
      </w:pPr>
      <w:r w:rsidRPr="004C243E">
        <w:rPr>
          <w:rFonts w:hint="eastAsia"/>
          <w:noProof/>
          <w:kern w:val="0"/>
          <w:sz w:val="24"/>
        </w:rPr>
        <w:t>（</w:t>
      </w:r>
      <w:r w:rsidRPr="004C243E">
        <w:rPr>
          <w:noProof/>
          <w:kern w:val="0"/>
          <w:sz w:val="24"/>
        </w:rPr>
        <w:t>3</w:t>
      </w:r>
      <w:r w:rsidRPr="004C243E">
        <w:rPr>
          <w:rFonts w:hint="eastAsia"/>
          <w:noProof/>
          <w:kern w:val="0"/>
          <w:sz w:val="24"/>
        </w:rPr>
        <w:t>）</w:t>
      </w:r>
      <w:r w:rsidR="0098404F">
        <w:rPr>
          <w:rFonts w:hint="eastAsia"/>
          <w:noProof/>
          <w:kern w:val="0"/>
          <w:sz w:val="24"/>
        </w:rPr>
        <w:t>受试物</w:t>
      </w:r>
      <w:r w:rsidRPr="004C243E">
        <w:rPr>
          <w:rFonts w:hint="eastAsia"/>
          <w:noProof/>
          <w:kern w:val="0"/>
          <w:sz w:val="24"/>
        </w:rPr>
        <w:t>组微核率在阴性对照历史范围之外。</w:t>
      </w:r>
    </w:p>
    <w:p w:rsidR="00C10218" w:rsidRPr="00B92AD1" w:rsidRDefault="00C10218" w:rsidP="00C10218">
      <w:pPr>
        <w:adjustRightInd w:val="0"/>
        <w:snapToGrid w:val="0"/>
        <w:spacing w:line="360" w:lineRule="auto"/>
        <w:ind w:firstLineChars="200" w:firstLine="480"/>
        <w:jc w:val="both"/>
        <w:rPr>
          <w:noProof/>
          <w:kern w:val="0"/>
          <w:sz w:val="24"/>
        </w:rPr>
      </w:pPr>
      <w:r w:rsidRPr="00B92AD1">
        <w:rPr>
          <w:rFonts w:hint="eastAsia"/>
          <w:noProof/>
          <w:kern w:val="0"/>
          <w:sz w:val="24"/>
        </w:rPr>
        <w:t>该试验出现阳性结果应考虑阳性结果是否归因于红细胞生成的干扰（如再生障碍性贫血、髓外造血作用）、应激、体温偏低或过高，脾脏功能的改变可影响含微核细胞从血液中的清除，可导致循环中的含微核红细胞数量轻微升高。</w:t>
      </w:r>
    </w:p>
    <w:p w:rsidR="00C10218" w:rsidRPr="0001104D" w:rsidRDefault="00C10218" w:rsidP="00C10218">
      <w:pPr>
        <w:adjustRightInd w:val="0"/>
        <w:snapToGrid w:val="0"/>
        <w:spacing w:line="360" w:lineRule="auto"/>
        <w:ind w:firstLineChars="200" w:firstLine="480"/>
        <w:jc w:val="both"/>
        <w:rPr>
          <w:noProof/>
          <w:kern w:val="0"/>
          <w:sz w:val="24"/>
        </w:rPr>
      </w:pPr>
      <w:bookmarkStart w:id="18" w:name="_Hlk180132258"/>
      <w:bookmarkStart w:id="19" w:name="_Hlk180132223"/>
      <w:r w:rsidRPr="00B92AD1">
        <w:rPr>
          <w:rFonts w:hint="eastAsia"/>
          <w:noProof/>
          <w:kern w:val="0"/>
          <w:sz w:val="24"/>
        </w:rPr>
        <w:t>明显的阳性或阴性结果通常不需要重复试验。如果结果不是明显的阳性或阴性，需要分析更多的细胞或者改变试验条件进行重复试验</w:t>
      </w:r>
      <w:bookmarkEnd w:id="18"/>
      <w:r w:rsidRPr="00B92AD1">
        <w:rPr>
          <w:rFonts w:hint="eastAsia"/>
          <w:noProof/>
          <w:kern w:val="0"/>
          <w:sz w:val="24"/>
        </w:rPr>
        <w:t>。</w:t>
      </w:r>
      <w:bookmarkEnd w:id="19"/>
    </w:p>
    <w:p w:rsidR="00C10218" w:rsidRDefault="00CD51E9" w:rsidP="00C10218">
      <w:pPr>
        <w:adjustRightInd w:val="0"/>
        <w:snapToGrid w:val="0"/>
        <w:spacing w:line="360" w:lineRule="auto"/>
        <w:ind w:firstLineChars="200" w:firstLine="560"/>
        <w:jc w:val="both"/>
        <w:rPr>
          <w:rFonts w:ascii="黑体" w:eastAsia="黑体" w:hAnsi="黑体" w:hint="eastAsia"/>
          <w:sz w:val="28"/>
          <w:szCs w:val="28"/>
        </w:rPr>
      </w:pPr>
      <w:bookmarkStart w:id="20" w:name="_Hlk177708078"/>
      <w:r>
        <w:rPr>
          <w:rFonts w:ascii="黑体" w:eastAsia="黑体" w:hAnsi="黑体" w:hint="eastAsia"/>
          <w:sz w:val="28"/>
          <w:szCs w:val="28"/>
        </w:rPr>
        <w:t>四</w:t>
      </w:r>
      <w:r w:rsidR="00C10218" w:rsidRPr="005740E6">
        <w:rPr>
          <w:rFonts w:ascii="黑体" w:eastAsia="黑体" w:hAnsi="黑体" w:hint="eastAsia"/>
          <w:sz w:val="28"/>
          <w:szCs w:val="28"/>
        </w:rPr>
        <w:t>、试验报告</w:t>
      </w:r>
    </w:p>
    <w:p w:rsidR="00864A45" w:rsidRPr="006C63F5" w:rsidRDefault="00873BF6" w:rsidP="00864A45">
      <w:pPr>
        <w:adjustRightInd w:val="0"/>
        <w:snapToGrid w:val="0"/>
        <w:spacing w:line="360" w:lineRule="auto"/>
        <w:ind w:firstLineChars="200" w:firstLine="480"/>
        <w:jc w:val="both"/>
        <w:rPr>
          <w:rFonts w:eastAsiaTheme="minorEastAsia"/>
          <w:sz w:val="24"/>
        </w:rPr>
      </w:pPr>
      <w:r w:rsidRPr="000500D4">
        <w:rPr>
          <w:sz w:val="24"/>
        </w:rPr>
        <w:t>按照兽药</w:t>
      </w:r>
      <w:r w:rsidRPr="000500D4">
        <w:rPr>
          <w:sz w:val="24"/>
        </w:rPr>
        <w:t>GLP</w:t>
      </w:r>
      <w:r w:rsidRPr="000500D4">
        <w:rPr>
          <w:sz w:val="24"/>
        </w:rPr>
        <w:t>要求撰写试验</w:t>
      </w:r>
      <w:r w:rsidRPr="007B60EC">
        <w:rPr>
          <w:rFonts w:ascii="宋体" w:hAnsi="宋体"/>
          <w:sz w:val="24"/>
        </w:rPr>
        <w:t>报告</w:t>
      </w:r>
      <w:r w:rsidR="00864A45" w:rsidRPr="007B60EC">
        <w:rPr>
          <w:rFonts w:ascii="宋体" w:hAnsi="宋体"/>
          <w:sz w:val="24"/>
        </w:rPr>
        <w:t>。</w:t>
      </w:r>
    </w:p>
    <w:bookmarkEnd w:id="20"/>
    <w:p w:rsidR="00C10218" w:rsidRPr="005740E6" w:rsidRDefault="00CD51E9" w:rsidP="00873BF6">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五</w:t>
      </w:r>
      <w:r w:rsidR="00F85915" w:rsidRPr="00873BF6">
        <w:rPr>
          <w:rFonts w:ascii="黑体" w:eastAsia="黑体" w:hAnsi="黑体"/>
          <w:sz w:val="28"/>
          <w:szCs w:val="28"/>
        </w:rPr>
        <w:t>、</w:t>
      </w:r>
      <w:bookmarkStart w:id="21" w:name="_Hlk177708094"/>
      <w:r w:rsidR="00C10218" w:rsidRPr="005740E6">
        <w:rPr>
          <w:rFonts w:ascii="黑体" w:eastAsia="黑体" w:hAnsi="黑体" w:hint="eastAsia"/>
          <w:sz w:val="28"/>
          <w:szCs w:val="28"/>
        </w:rPr>
        <w:t>附录</w:t>
      </w:r>
    </w:p>
    <w:p w:rsidR="00C10218" w:rsidRPr="005740E6" w:rsidRDefault="00C10218" w:rsidP="00C10218">
      <w:pPr>
        <w:adjustRightInd w:val="0"/>
        <w:snapToGrid w:val="0"/>
        <w:spacing w:line="360" w:lineRule="auto"/>
        <w:ind w:firstLineChars="200" w:firstLine="480"/>
        <w:jc w:val="both"/>
        <w:rPr>
          <w:rFonts w:ascii="黑体" w:hAnsi="黑体" w:hint="eastAsia"/>
          <w:sz w:val="24"/>
        </w:rPr>
      </w:pPr>
      <w:bookmarkStart w:id="22" w:name="_Hlk177682800"/>
      <w:bookmarkEnd w:id="21"/>
      <w:r w:rsidRPr="005740E6">
        <w:rPr>
          <w:rFonts w:ascii="黑体" w:eastAsia="黑体" w:hAnsi="黑体" w:hint="eastAsia"/>
          <w:sz w:val="24"/>
        </w:rPr>
        <w:t>历史对照数据库的建立</w:t>
      </w:r>
    </w:p>
    <w:bookmarkEnd w:id="22"/>
    <w:p w:rsidR="00C10218" w:rsidRPr="00595D0E" w:rsidRDefault="00C10218" w:rsidP="00C10218">
      <w:pPr>
        <w:adjustRightInd w:val="0"/>
        <w:snapToGrid w:val="0"/>
        <w:spacing w:line="360" w:lineRule="auto"/>
        <w:ind w:firstLineChars="200" w:firstLine="480"/>
        <w:jc w:val="both"/>
      </w:pPr>
      <w:r w:rsidRPr="00595D0E">
        <w:rPr>
          <w:rFonts w:hint="eastAsia"/>
          <w:sz w:val="24"/>
        </w:rPr>
        <w:t>实验室应建立历史对照数据库，包括结果范围和分布，并应采用质量控制方法，如控制图表（如</w:t>
      </w:r>
      <w:r w:rsidRPr="00595D0E">
        <w:rPr>
          <w:sz w:val="24"/>
        </w:rPr>
        <w:t>C-</w:t>
      </w:r>
      <w:r w:rsidRPr="00595D0E">
        <w:rPr>
          <w:rFonts w:hint="eastAsia"/>
          <w:sz w:val="24"/>
        </w:rPr>
        <w:t>图或</w:t>
      </w:r>
      <w:r w:rsidRPr="00595D0E">
        <w:rPr>
          <w:sz w:val="24"/>
        </w:rPr>
        <w:t>X-bar</w:t>
      </w:r>
      <w:r w:rsidRPr="00595D0E">
        <w:rPr>
          <w:rFonts w:hint="eastAsia"/>
          <w:sz w:val="24"/>
        </w:rPr>
        <w:t>图），以确定对照数据可控。对试验方案的任何修改都应考虑到其与实验室现有历史对照数据的一致性。只有重大不一致才将需建立新的历史对照数据库，并需专家判断。</w:t>
      </w:r>
    </w:p>
    <w:p w:rsidR="00C10218" w:rsidRPr="00595D0E" w:rsidRDefault="00C10218" w:rsidP="00C10218">
      <w:pPr>
        <w:adjustRightInd w:val="0"/>
        <w:snapToGrid w:val="0"/>
        <w:spacing w:line="360" w:lineRule="auto"/>
        <w:ind w:firstLineChars="200" w:firstLine="480"/>
        <w:jc w:val="both"/>
      </w:pPr>
      <w:r w:rsidRPr="00595D0E">
        <w:rPr>
          <w:rFonts w:hint="eastAsia"/>
          <w:sz w:val="24"/>
        </w:rPr>
        <w:t>当首次获取历史阴性对照分布的数据时，</w:t>
      </w:r>
      <w:proofErr w:type="gramStart"/>
      <w:r w:rsidRPr="00595D0E">
        <w:rPr>
          <w:rFonts w:hint="eastAsia"/>
          <w:sz w:val="24"/>
        </w:rPr>
        <w:t>阴性对</w:t>
      </w:r>
      <w:proofErr w:type="gramEnd"/>
      <w:r w:rsidRPr="00595D0E">
        <w:rPr>
          <w:rFonts w:hint="eastAsia"/>
          <w:sz w:val="24"/>
        </w:rPr>
        <w:t>照应与已公开发布的对照数据（若有）一致。随着越来越多的</w:t>
      </w:r>
      <w:r>
        <w:rPr>
          <w:rFonts w:hint="eastAsia"/>
          <w:sz w:val="24"/>
        </w:rPr>
        <w:t>试验</w:t>
      </w:r>
      <w:r w:rsidRPr="00595D0E">
        <w:rPr>
          <w:rFonts w:hint="eastAsia"/>
          <w:sz w:val="24"/>
        </w:rPr>
        <w:t>数据被添加到对照分布中，阴性对照理想情况下应在分布的</w:t>
      </w:r>
      <w:r w:rsidRPr="00595D0E">
        <w:rPr>
          <w:sz w:val="24"/>
        </w:rPr>
        <w:t>95%</w:t>
      </w:r>
      <w:r w:rsidRPr="00595D0E">
        <w:rPr>
          <w:rFonts w:hint="eastAsia"/>
          <w:sz w:val="24"/>
        </w:rPr>
        <w:t>置信区间内，但对于在</w:t>
      </w:r>
      <w:r w:rsidRPr="00595D0E">
        <w:rPr>
          <w:sz w:val="24"/>
        </w:rPr>
        <w:t>95%</w:t>
      </w:r>
      <w:r w:rsidRPr="00595D0E">
        <w:rPr>
          <w:rFonts w:hint="eastAsia"/>
          <w:sz w:val="24"/>
        </w:rPr>
        <w:t>置信区间范围之外的阴性对照数据，如果不是极端的异常值，并且有证据表明试验系统可控，没有技术或人为差错，可将其纳入历史对照库中。</w:t>
      </w:r>
    </w:p>
    <w:p w:rsidR="00C10218" w:rsidRPr="00D90355" w:rsidRDefault="00CD51E9" w:rsidP="00C10218">
      <w:pPr>
        <w:adjustRightInd w:val="0"/>
        <w:snapToGrid w:val="0"/>
        <w:spacing w:line="360" w:lineRule="auto"/>
        <w:ind w:firstLineChars="200" w:firstLine="560"/>
        <w:jc w:val="both"/>
        <w:rPr>
          <w:rFonts w:ascii="黑体" w:eastAsia="黑体" w:hAnsi="黑体" w:hint="eastAsia"/>
          <w:sz w:val="28"/>
          <w:szCs w:val="28"/>
        </w:rPr>
      </w:pPr>
      <w:bookmarkStart w:id="23" w:name="_Hlk177708137"/>
      <w:r>
        <w:rPr>
          <w:rFonts w:ascii="黑体" w:eastAsia="黑体" w:hAnsi="黑体" w:hint="eastAsia"/>
          <w:sz w:val="28"/>
          <w:szCs w:val="28"/>
        </w:rPr>
        <w:t>六</w:t>
      </w:r>
      <w:r w:rsidR="00864A45">
        <w:rPr>
          <w:rFonts w:ascii="黑体" w:eastAsia="黑体" w:hAnsi="黑体"/>
          <w:sz w:val="28"/>
          <w:szCs w:val="28"/>
        </w:rPr>
        <w:t>、</w:t>
      </w:r>
      <w:r w:rsidR="00C10218" w:rsidRPr="00D90355">
        <w:rPr>
          <w:rFonts w:ascii="黑体" w:eastAsia="黑体" w:hAnsi="黑体" w:hint="eastAsia"/>
          <w:sz w:val="28"/>
          <w:szCs w:val="28"/>
        </w:rPr>
        <w:t>术语</w:t>
      </w:r>
    </w:p>
    <w:p w:rsidR="00C10218" w:rsidRPr="0001104D" w:rsidRDefault="00C10218" w:rsidP="00C10218">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微核（</w:t>
      </w:r>
      <w:r w:rsidRPr="008D47BA">
        <w:rPr>
          <w:color w:val="000000"/>
          <w:spacing w:val="-3"/>
          <w:kern w:val="0"/>
          <w:sz w:val="24"/>
          <w:lang w:val="x-none"/>
        </w:rPr>
        <w:t>M</w:t>
      </w:r>
      <w:r w:rsidRPr="0001104D">
        <w:rPr>
          <w:color w:val="000000"/>
          <w:spacing w:val="-3"/>
          <w:kern w:val="0"/>
          <w:sz w:val="24"/>
          <w:lang w:val="x-none"/>
        </w:rPr>
        <w:t>icronuclei</w:t>
      </w:r>
      <w:r w:rsidRPr="008D47BA">
        <w:rPr>
          <w:rFonts w:hint="eastAsia"/>
          <w:color w:val="000000"/>
          <w:spacing w:val="-3"/>
          <w:kern w:val="0"/>
          <w:sz w:val="24"/>
          <w:lang w:val="x-none"/>
        </w:rPr>
        <w:t>）：细胞有丝分裂后期染色体有规律地进入子细胞形成细胞核时，仍留在细胞质中的整条染色单体或染色体的无着丝断片或环。在末期单独形成一个或几个规则的次核，被包含在细胞的胞质内而形成。</w:t>
      </w:r>
    </w:p>
    <w:p w:rsidR="00C10218" w:rsidRPr="0001104D" w:rsidRDefault="00C10218" w:rsidP="00C10218">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着丝粒（</w:t>
      </w:r>
      <w:r w:rsidRPr="0001104D">
        <w:rPr>
          <w:color w:val="000000"/>
          <w:spacing w:val="-3"/>
          <w:kern w:val="0"/>
          <w:sz w:val="24"/>
          <w:lang w:val="x-none"/>
        </w:rPr>
        <w:t>Centromere/kinetochore</w:t>
      </w:r>
      <w:r w:rsidRPr="008D47BA">
        <w:rPr>
          <w:rFonts w:hint="eastAsia"/>
          <w:color w:val="000000"/>
          <w:spacing w:val="-3"/>
          <w:kern w:val="0"/>
          <w:sz w:val="24"/>
          <w:lang w:val="x-none"/>
        </w:rPr>
        <w:t>）：在细胞分裂期染色体与纺锤体纤维连接的区域，以使子染色体有序移动到子细胞两极。</w:t>
      </w:r>
    </w:p>
    <w:p w:rsidR="00C10218" w:rsidRPr="0001104D" w:rsidRDefault="00C10218" w:rsidP="00C10218">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正染红细胞（</w:t>
      </w:r>
      <w:proofErr w:type="spellStart"/>
      <w:r w:rsidRPr="008D47BA">
        <w:rPr>
          <w:color w:val="000000"/>
          <w:spacing w:val="-3"/>
          <w:kern w:val="0"/>
          <w:sz w:val="24"/>
          <w:lang w:val="x-none"/>
        </w:rPr>
        <w:t>N</w:t>
      </w:r>
      <w:r w:rsidRPr="0001104D">
        <w:rPr>
          <w:color w:val="000000"/>
          <w:spacing w:val="-3"/>
          <w:kern w:val="0"/>
          <w:sz w:val="24"/>
          <w:lang w:val="x-none"/>
        </w:rPr>
        <w:t>ormochromatic</w:t>
      </w:r>
      <w:proofErr w:type="spellEnd"/>
      <w:r w:rsidRPr="0001104D">
        <w:rPr>
          <w:color w:val="000000"/>
          <w:spacing w:val="-3"/>
          <w:kern w:val="0"/>
          <w:sz w:val="24"/>
          <w:lang w:val="x-none"/>
        </w:rPr>
        <w:t xml:space="preserve"> </w:t>
      </w:r>
      <w:proofErr w:type="spellStart"/>
      <w:r w:rsidRPr="0001104D">
        <w:rPr>
          <w:color w:val="000000"/>
          <w:spacing w:val="-3"/>
          <w:kern w:val="0"/>
          <w:sz w:val="24"/>
          <w:lang w:val="x-none"/>
        </w:rPr>
        <w:t>erythocyte</w:t>
      </w:r>
      <w:proofErr w:type="spellEnd"/>
      <w:r w:rsidRPr="008D47BA">
        <w:rPr>
          <w:rFonts w:hint="eastAsia"/>
          <w:color w:val="000000"/>
          <w:spacing w:val="-3"/>
          <w:kern w:val="0"/>
          <w:sz w:val="24"/>
          <w:lang w:val="x-none"/>
        </w:rPr>
        <w:t>）：成熟的红细胞，其缺乏核糖体并可用选择性核糖体染料与未成熟的嗜多染红细胞区分。</w:t>
      </w:r>
    </w:p>
    <w:p w:rsidR="00C10218" w:rsidRPr="0001104D" w:rsidRDefault="00C10218" w:rsidP="00C10218">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lastRenderedPageBreak/>
        <w:t>嗜多染红细胞（</w:t>
      </w:r>
      <w:r w:rsidRPr="0001104D">
        <w:rPr>
          <w:color w:val="000000"/>
          <w:spacing w:val="-3"/>
          <w:kern w:val="0"/>
          <w:sz w:val="24"/>
          <w:lang w:val="x-none"/>
        </w:rPr>
        <w:t>Polychromatic erythrocyte</w:t>
      </w:r>
      <w:r w:rsidRPr="008D47BA">
        <w:rPr>
          <w:rFonts w:hint="eastAsia"/>
          <w:color w:val="000000"/>
          <w:spacing w:val="-3"/>
          <w:kern w:val="0"/>
          <w:sz w:val="24"/>
          <w:lang w:val="x-none"/>
        </w:rPr>
        <w:t>）：未成熟的红细胞处于发育的中间期，仍含有核糖体，故可用选择性核糖体染料与成熟的正染红细胞区分。</w:t>
      </w:r>
    </w:p>
    <w:p w:rsidR="00C10218" w:rsidRDefault="00C10218" w:rsidP="00C10218">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总红细胞（</w:t>
      </w:r>
      <w:r w:rsidRPr="0001104D">
        <w:rPr>
          <w:color w:val="000000"/>
          <w:spacing w:val="-3"/>
          <w:kern w:val="0"/>
          <w:sz w:val="24"/>
          <w:lang w:val="x-none"/>
        </w:rPr>
        <w:t>Total erythrocyte</w:t>
      </w:r>
      <w:r w:rsidRPr="008D47BA">
        <w:rPr>
          <w:color w:val="000000"/>
          <w:spacing w:val="-3"/>
          <w:kern w:val="0"/>
          <w:sz w:val="24"/>
          <w:lang w:val="x-none"/>
        </w:rPr>
        <w:t>s</w:t>
      </w:r>
      <w:r w:rsidRPr="008D47BA">
        <w:rPr>
          <w:rFonts w:hint="eastAsia"/>
          <w:color w:val="000000"/>
          <w:spacing w:val="-3"/>
          <w:kern w:val="0"/>
          <w:sz w:val="24"/>
          <w:lang w:val="x-none"/>
        </w:rPr>
        <w:t>）：正染红细胞和</w:t>
      </w:r>
      <w:proofErr w:type="gramStart"/>
      <w:r w:rsidRPr="008D47BA">
        <w:rPr>
          <w:rFonts w:hint="eastAsia"/>
          <w:color w:val="000000"/>
          <w:spacing w:val="-3"/>
          <w:kern w:val="0"/>
          <w:sz w:val="24"/>
          <w:lang w:val="x-none"/>
        </w:rPr>
        <w:t>嗜多</w:t>
      </w:r>
      <w:proofErr w:type="gramEnd"/>
      <w:r w:rsidRPr="008D47BA">
        <w:rPr>
          <w:rFonts w:hint="eastAsia"/>
          <w:color w:val="000000"/>
          <w:spacing w:val="-3"/>
          <w:kern w:val="0"/>
          <w:sz w:val="24"/>
          <w:lang w:val="x-none"/>
        </w:rPr>
        <w:t>染红细胞的总和。</w:t>
      </w:r>
    </w:p>
    <w:p w:rsidR="00C10218" w:rsidRDefault="00C10218" w:rsidP="00C10218">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非整倍体</w:t>
      </w:r>
      <w:r>
        <w:rPr>
          <w:rFonts w:hint="eastAsia"/>
          <w:color w:val="000000"/>
          <w:spacing w:val="-3"/>
          <w:kern w:val="0"/>
          <w:sz w:val="24"/>
          <w:lang w:val="x-none"/>
        </w:rPr>
        <w:t>（</w:t>
      </w:r>
      <w:r>
        <w:rPr>
          <w:rFonts w:hint="eastAsia"/>
          <w:color w:val="000000"/>
          <w:spacing w:val="-3"/>
          <w:kern w:val="0"/>
          <w:sz w:val="24"/>
          <w:lang w:val="x-none"/>
        </w:rPr>
        <w:t>A</w:t>
      </w:r>
      <w:r w:rsidRPr="00A65A67">
        <w:rPr>
          <w:color w:val="000000"/>
          <w:spacing w:val="-3"/>
          <w:kern w:val="0"/>
          <w:sz w:val="24"/>
          <w:lang w:val="x-none"/>
        </w:rPr>
        <w:t>neuploidy</w:t>
      </w:r>
      <w:r>
        <w:rPr>
          <w:rFonts w:hint="eastAsia"/>
          <w:color w:val="000000"/>
          <w:spacing w:val="-3"/>
          <w:kern w:val="0"/>
          <w:sz w:val="24"/>
          <w:lang w:val="x-none"/>
        </w:rPr>
        <w:t>）：</w:t>
      </w:r>
      <w:r w:rsidRPr="00A65A67">
        <w:rPr>
          <w:rFonts w:hint="eastAsia"/>
          <w:color w:val="000000"/>
          <w:spacing w:val="-3"/>
          <w:kern w:val="0"/>
          <w:sz w:val="24"/>
          <w:lang w:val="x-none"/>
        </w:rPr>
        <w:t>二倍体染色体组中缺少或额外增加一条或若干条完整的染色体的变异类型。</w:t>
      </w:r>
    </w:p>
    <w:p w:rsidR="00C10218" w:rsidRPr="00A65A67" w:rsidRDefault="00C10218" w:rsidP="00C10218">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染色体断裂</w:t>
      </w:r>
      <w:r>
        <w:rPr>
          <w:rFonts w:hint="eastAsia"/>
          <w:color w:val="000000"/>
          <w:spacing w:val="-3"/>
          <w:kern w:val="0"/>
          <w:sz w:val="24"/>
          <w:lang w:val="x-none"/>
        </w:rPr>
        <w:t>（</w:t>
      </w:r>
      <w:r>
        <w:rPr>
          <w:rFonts w:hint="eastAsia"/>
          <w:color w:val="000000"/>
          <w:spacing w:val="-3"/>
          <w:kern w:val="0"/>
          <w:sz w:val="24"/>
          <w:lang w:val="x-none"/>
        </w:rPr>
        <w:t>C</w:t>
      </w:r>
      <w:r w:rsidRPr="00A65A67">
        <w:rPr>
          <w:color w:val="000000"/>
          <w:spacing w:val="-3"/>
          <w:kern w:val="0"/>
          <w:sz w:val="24"/>
          <w:lang w:val="x-none"/>
        </w:rPr>
        <w:t>hromosome breakage</w:t>
      </w:r>
      <w:r>
        <w:rPr>
          <w:rFonts w:hint="eastAsia"/>
          <w:color w:val="000000"/>
          <w:spacing w:val="-3"/>
          <w:kern w:val="0"/>
          <w:sz w:val="24"/>
          <w:lang w:val="x-none"/>
        </w:rPr>
        <w:t>）：</w:t>
      </w:r>
      <w:r w:rsidRPr="00A65A67">
        <w:rPr>
          <w:rFonts w:hint="eastAsia"/>
          <w:color w:val="000000"/>
          <w:spacing w:val="-3"/>
          <w:kern w:val="0"/>
          <w:sz w:val="24"/>
          <w:lang w:val="x-none"/>
        </w:rPr>
        <w:t>染色体臂出现长度大于染色体臂宽度的裂隙。</w:t>
      </w:r>
    </w:p>
    <w:p w:rsidR="00C10218" w:rsidRPr="005740E6" w:rsidRDefault="00CD51E9" w:rsidP="00C10218">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七</w:t>
      </w:r>
      <w:r w:rsidR="00864A45">
        <w:rPr>
          <w:rFonts w:ascii="黑体" w:eastAsia="黑体" w:hAnsi="黑体"/>
          <w:sz w:val="28"/>
          <w:szCs w:val="28"/>
        </w:rPr>
        <w:t>、</w:t>
      </w:r>
      <w:r w:rsidR="00C10218" w:rsidRPr="005740E6">
        <w:rPr>
          <w:rFonts w:ascii="黑体" w:eastAsia="黑体" w:hAnsi="黑体" w:hint="eastAsia"/>
          <w:sz w:val="28"/>
          <w:szCs w:val="28"/>
        </w:rPr>
        <w:t>参考文献</w:t>
      </w:r>
    </w:p>
    <w:p w:rsidR="00C10218" w:rsidRPr="0001104D" w:rsidRDefault="00C10218" w:rsidP="00C10218">
      <w:pPr>
        <w:adjustRightInd w:val="0"/>
        <w:snapToGrid w:val="0"/>
        <w:spacing w:line="360" w:lineRule="auto"/>
        <w:ind w:firstLineChars="200" w:firstLine="480"/>
        <w:jc w:val="both"/>
        <w:rPr>
          <w:kern w:val="0"/>
          <w:sz w:val="24"/>
        </w:rPr>
      </w:pPr>
      <w:r w:rsidRPr="0001104D">
        <w:rPr>
          <w:kern w:val="0"/>
          <w:sz w:val="24"/>
        </w:rPr>
        <w:t xml:space="preserve">1. </w:t>
      </w:r>
      <w:r>
        <w:rPr>
          <w:rFonts w:hint="eastAsia"/>
          <w:kern w:val="0"/>
          <w:sz w:val="24"/>
        </w:rPr>
        <w:t>国家药品监督管理局药品审评中心</w:t>
      </w:r>
      <w:r w:rsidRPr="0001104D">
        <w:rPr>
          <w:kern w:val="0"/>
          <w:sz w:val="24"/>
        </w:rPr>
        <w:t xml:space="preserve">. </w:t>
      </w:r>
      <w:r w:rsidRPr="008D47BA">
        <w:rPr>
          <w:rFonts w:hint="eastAsia"/>
          <w:kern w:val="0"/>
          <w:sz w:val="24"/>
        </w:rPr>
        <w:t>药物遗传毒性研究技术指导原则</w:t>
      </w:r>
      <w:r w:rsidRPr="0001104D">
        <w:rPr>
          <w:kern w:val="0"/>
          <w:sz w:val="24"/>
        </w:rPr>
        <w:t xml:space="preserve"> [S]. 2018.</w:t>
      </w:r>
    </w:p>
    <w:p w:rsidR="00C10218" w:rsidRPr="0001104D" w:rsidRDefault="00C10218" w:rsidP="00C10218">
      <w:pPr>
        <w:adjustRightInd w:val="0"/>
        <w:snapToGrid w:val="0"/>
        <w:spacing w:line="360" w:lineRule="auto"/>
        <w:ind w:firstLineChars="200" w:firstLine="480"/>
        <w:jc w:val="both"/>
        <w:rPr>
          <w:sz w:val="24"/>
        </w:rPr>
      </w:pPr>
      <w:r w:rsidRPr="0001104D">
        <w:rPr>
          <w:sz w:val="24"/>
        </w:rPr>
        <w:t>2. OECD. Guideline for the testing of chemicals No.47</w:t>
      </w:r>
      <w:r w:rsidRPr="008D47BA">
        <w:rPr>
          <w:sz w:val="24"/>
        </w:rPr>
        <w:t>4</w:t>
      </w:r>
      <w:r w:rsidRPr="0001104D">
        <w:rPr>
          <w:sz w:val="24"/>
        </w:rPr>
        <w:t xml:space="preserve">: Mammalian </w:t>
      </w:r>
      <w:r w:rsidRPr="008D47BA">
        <w:rPr>
          <w:sz w:val="24"/>
        </w:rPr>
        <w:t>e</w:t>
      </w:r>
      <w:r w:rsidRPr="0001104D">
        <w:rPr>
          <w:sz w:val="24"/>
        </w:rPr>
        <w:t xml:space="preserve">rythrocyte </w:t>
      </w:r>
      <w:r w:rsidRPr="008D47BA">
        <w:rPr>
          <w:sz w:val="24"/>
        </w:rPr>
        <w:t>m</w:t>
      </w:r>
      <w:r w:rsidRPr="0001104D">
        <w:rPr>
          <w:sz w:val="24"/>
        </w:rPr>
        <w:t xml:space="preserve">icronucleus </w:t>
      </w:r>
      <w:r w:rsidRPr="008D47BA">
        <w:rPr>
          <w:sz w:val="24"/>
        </w:rPr>
        <w:t>t</w:t>
      </w:r>
      <w:r w:rsidRPr="0001104D">
        <w:rPr>
          <w:sz w:val="24"/>
        </w:rPr>
        <w:t>est. 20</w:t>
      </w:r>
      <w:r w:rsidRPr="008D47BA">
        <w:rPr>
          <w:sz w:val="24"/>
        </w:rPr>
        <w:t>16</w:t>
      </w:r>
      <w:r w:rsidRPr="0001104D">
        <w:rPr>
          <w:sz w:val="24"/>
        </w:rPr>
        <w:t>.</w:t>
      </w:r>
    </w:p>
    <w:p w:rsidR="00C10218" w:rsidRPr="0001104D" w:rsidRDefault="00C10218" w:rsidP="00C10218">
      <w:pPr>
        <w:adjustRightInd w:val="0"/>
        <w:snapToGrid w:val="0"/>
        <w:spacing w:line="360" w:lineRule="auto"/>
        <w:ind w:firstLineChars="200" w:firstLine="480"/>
        <w:jc w:val="both"/>
        <w:rPr>
          <w:sz w:val="24"/>
        </w:rPr>
      </w:pPr>
      <w:r w:rsidRPr="0001104D">
        <w:rPr>
          <w:sz w:val="24"/>
        </w:rPr>
        <w:t xml:space="preserve">3. </w:t>
      </w:r>
      <w:r w:rsidRPr="008D47BA">
        <w:rPr>
          <w:rFonts w:hint="eastAsia"/>
          <w:sz w:val="24"/>
        </w:rPr>
        <w:t>国家药品监督管理局</w:t>
      </w:r>
      <w:r w:rsidRPr="0001104D">
        <w:rPr>
          <w:sz w:val="24"/>
        </w:rPr>
        <w:t>.</w:t>
      </w:r>
      <w:r w:rsidRPr="008D47BA">
        <w:rPr>
          <w:rFonts w:hint="eastAsia"/>
          <w:sz w:val="24"/>
        </w:rPr>
        <w:t>化妆品安全技术规范</w:t>
      </w:r>
      <w:r w:rsidRPr="0001104D">
        <w:rPr>
          <w:sz w:val="24"/>
        </w:rPr>
        <w:t>.2015.</w:t>
      </w:r>
    </w:p>
    <w:p w:rsidR="00C10218" w:rsidRPr="0001104D" w:rsidRDefault="00C10218" w:rsidP="00C10218">
      <w:pPr>
        <w:adjustRightInd w:val="0"/>
        <w:snapToGrid w:val="0"/>
        <w:spacing w:line="360" w:lineRule="auto"/>
        <w:ind w:firstLineChars="200" w:firstLine="480"/>
        <w:jc w:val="both"/>
        <w:rPr>
          <w:sz w:val="24"/>
        </w:rPr>
      </w:pPr>
      <w:r w:rsidRPr="0001104D">
        <w:rPr>
          <w:sz w:val="24"/>
        </w:rPr>
        <w:t xml:space="preserve">4. </w:t>
      </w:r>
      <w:r w:rsidR="0040077A" w:rsidRPr="0040077A">
        <w:rPr>
          <w:rFonts w:hint="eastAsia"/>
          <w:sz w:val="24"/>
        </w:rPr>
        <w:t>中华人民共和国国家卫生健康委员会</w:t>
      </w:r>
      <w:r w:rsidRPr="0001104D">
        <w:rPr>
          <w:sz w:val="24"/>
        </w:rPr>
        <w:t xml:space="preserve">. </w:t>
      </w:r>
      <w:r w:rsidRPr="008D47BA">
        <w:rPr>
          <w:rFonts w:hint="eastAsia"/>
          <w:sz w:val="24"/>
        </w:rPr>
        <w:t>食品安全国家标准</w:t>
      </w:r>
      <w:r w:rsidRPr="0001104D">
        <w:rPr>
          <w:sz w:val="24"/>
        </w:rPr>
        <w:t xml:space="preserve"> </w:t>
      </w:r>
      <w:r w:rsidRPr="008D47BA">
        <w:rPr>
          <w:rFonts w:hint="eastAsia"/>
          <w:sz w:val="24"/>
        </w:rPr>
        <w:t>哺乳动物红细胞微核试验</w:t>
      </w:r>
      <w:r w:rsidRPr="0001104D">
        <w:rPr>
          <w:sz w:val="24"/>
        </w:rPr>
        <w:t>: GB 15193.</w:t>
      </w:r>
      <w:r w:rsidRPr="008D47BA">
        <w:rPr>
          <w:sz w:val="24"/>
        </w:rPr>
        <w:t>5</w:t>
      </w:r>
      <w:r w:rsidRPr="0001104D">
        <w:rPr>
          <w:sz w:val="24"/>
        </w:rPr>
        <w:t>-2014[S]. 2015.</w:t>
      </w:r>
    </w:p>
    <w:p w:rsidR="00C10218" w:rsidRDefault="00C10218" w:rsidP="00C10218">
      <w:pPr>
        <w:adjustRightInd w:val="0"/>
        <w:snapToGrid w:val="0"/>
        <w:spacing w:line="360" w:lineRule="auto"/>
        <w:ind w:firstLineChars="200" w:firstLine="480"/>
        <w:jc w:val="both"/>
        <w:rPr>
          <w:sz w:val="24"/>
        </w:rPr>
      </w:pPr>
      <w:r w:rsidRPr="0011464D">
        <w:rPr>
          <w:sz w:val="24"/>
        </w:rPr>
        <w:t xml:space="preserve">5.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rsidR="00C10218" w:rsidRDefault="00C10218" w:rsidP="00C10218">
      <w:pPr>
        <w:adjustRightInd w:val="0"/>
        <w:snapToGrid w:val="0"/>
        <w:spacing w:line="360" w:lineRule="auto"/>
        <w:ind w:firstLineChars="200" w:firstLine="480"/>
        <w:jc w:val="both"/>
        <w:rPr>
          <w:sz w:val="24"/>
        </w:rPr>
      </w:pPr>
      <w:r>
        <w:rPr>
          <w:rFonts w:hint="eastAsia"/>
          <w:sz w:val="24"/>
        </w:rPr>
        <w:t>6</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p>
    <w:bookmarkEnd w:id="23"/>
    <w:p w:rsidR="0053644F" w:rsidRPr="00C10218" w:rsidRDefault="0053644F" w:rsidP="00C10218">
      <w:pPr>
        <w:adjustRightInd w:val="0"/>
        <w:snapToGrid w:val="0"/>
        <w:spacing w:line="360" w:lineRule="auto"/>
        <w:jc w:val="both"/>
        <w:rPr>
          <w:sz w:val="24"/>
        </w:rPr>
      </w:pPr>
    </w:p>
    <w:sectPr w:rsidR="0053644F" w:rsidRPr="00C102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6F0" w:rsidRDefault="000146F0" w:rsidP="007B4649">
      <w:r>
        <w:separator/>
      </w:r>
    </w:p>
  </w:endnote>
  <w:endnote w:type="continuationSeparator" w:id="0">
    <w:p w:rsidR="000146F0" w:rsidRDefault="000146F0" w:rsidP="007B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6F0" w:rsidRDefault="000146F0" w:rsidP="007B4649">
      <w:r>
        <w:separator/>
      </w:r>
    </w:p>
  </w:footnote>
  <w:footnote w:type="continuationSeparator" w:id="0">
    <w:p w:rsidR="000146F0" w:rsidRDefault="000146F0" w:rsidP="007B4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18"/>
    <w:rsid w:val="000146F0"/>
    <w:rsid w:val="000946E8"/>
    <w:rsid w:val="0013464C"/>
    <w:rsid w:val="001540AB"/>
    <w:rsid w:val="00215F5D"/>
    <w:rsid w:val="002A4E06"/>
    <w:rsid w:val="002B75B3"/>
    <w:rsid w:val="0036474B"/>
    <w:rsid w:val="003B0322"/>
    <w:rsid w:val="0040077A"/>
    <w:rsid w:val="004C243E"/>
    <w:rsid w:val="0053644F"/>
    <w:rsid w:val="00694F4D"/>
    <w:rsid w:val="006C012D"/>
    <w:rsid w:val="006C63F5"/>
    <w:rsid w:val="006E09B1"/>
    <w:rsid w:val="007B4649"/>
    <w:rsid w:val="007B60EC"/>
    <w:rsid w:val="007E2B82"/>
    <w:rsid w:val="008115FA"/>
    <w:rsid w:val="00833D59"/>
    <w:rsid w:val="00864A45"/>
    <w:rsid w:val="00873BF6"/>
    <w:rsid w:val="008C104B"/>
    <w:rsid w:val="008D171F"/>
    <w:rsid w:val="00931433"/>
    <w:rsid w:val="0098404F"/>
    <w:rsid w:val="00A37A1E"/>
    <w:rsid w:val="00A97605"/>
    <w:rsid w:val="00B4344B"/>
    <w:rsid w:val="00B9369A"/>
    <w:rsid w:val="00C10218"/>
    <w:rsid w:val="00C16097"/>
    <w:rsid w:val="00C52381"/>
    <w:rsid w:val="00C8582F"/>
    <w:rsid w:val="00CD51E9"/>
    <w:rsid w:val="00D249FC"/>
    <w:rsid w:val="00D606F1"/>
    <w:rsid w:val="00F85915"/>
    <w:rsid w:val="00F9483A"/>
    <w:rsid w:val="00F94B6D"/>
    <w:rsid w:val="00FE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50FAE7-EC87-4BFC-80F1-5AB43DFB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218"/>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6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4649"/>
    <w:rPr>
      <w:rFonts w:ascii="Times New Roman" w:eastAsia="宋体" w:hAnsi="Times New Roman" w:cs="Times New Roman"/>
      <w:sz w:val="18"/>
      <w:szCs w:val="18"/>
    </w:rPr>
  </w:style>
  <w:style w:type="paragraph" w:styleId="a5">
    <w:name w:val="footer"/>
    <w:basedOn w:val="a"/>
    <w:link w:val="a6"/>
    <w:uiPriority w:val="99"/>
    <w:unhideWhenUsed/>
    <w:rsid w:val="007B4649"/>
    <w:pPr>
      <w:tabs>
        <w:tab w:val="center" w:pos="4153"/>
        <w:tab w:val="right" w:pos="8306"/>
      </w:tabs>
      <w:snapToGrid w:val="0"/>
    </w:pPr>
    <w:rPr>
      <w:sz w:val="18"/>
      <w:szCs w:val="18"/>
    </w:rPr>
  </w:style>
  <w:style w:type="character" w:customStyle="1" w:styleId="a6">
    <w:name w:val="页脚 字符"/>
    <w:basedOn w:val="a0"/>
    <w:link w:val="a5"/>
    <w:uiPriority w:val="99"/>
    <w:rsid w:val="007B4649"/>
    <w:rPr>
      <w:rFonts w:ascii="Times New Roman" w:eastAsia="宋体" w:hAnsi="Times New Roman" w:cs="Times New Roman"/>
      <w:sz w:val="18"/>
      <w:szCs w:val="18"/>
    </w:rPr>
  </w:style>
  <w:style w:type="paragraph" w:styleId="a7">
    <w:name w:val="Balloon Text"/>
    <w:basedOn w:val="a"/>
    <w:link w:val="a8"/>
    <w:uiPriority w:val="99"/>
    <w:semiHidden/>
    <w:unhideWhenUsed/>
    <w:rsid w:val="00F85915"/>
    <w:rPr>
      <w:sz w:val="18"/>
      <w:szCs w:val="18"/>
    </w:rPr>
  </w:style>
  <w:style w:type="character" w:customStyle="1" w:styleId="a8">
    <w:name w:val="批注框文本 字符"/>
    <w:basedOn w:val="a0"/>
    <w:link w:val="a7"/>
    <w:uiPriority w:val="99"/>
    <w:semiHidden/>
    <w:rsid w:val="00F85915"/>
    <w:rPr>
      <w:rFonts w:ascii="Times New Roman" w:eastAsia="宋体" w:hAnsi="Times New Roman" w:cs="Times New Roman"/>
      <w:sz w:val="18"/>
      <w:szCs w:val="18"/>
    </w:rPr>
  </w:style>
  <w:style w:type="paragraph" w:styleId="a9">
    <w:name w:val="Revision"/>
    <w:hidden/>
    <w:uiPriority w:val="99"/>
    <w:semiHidden/>
    <w:rsid w:val="006C63F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8511">
      <w:bodyDiv w:val="1"/>
      <w:marLeft w:val="0"/>
      <w:marRight w:val="0"/>
      <w:marTop w:val="0"/>
      <w:marBottom w:val="0"/>
      <w:divBdr>
        <w:top w:val="none" w:sz="0" w:space="0" w:color="auto"/>
        <w:left w:val="none" w:sz="0" w:space="0" w:color="auto"/>
        <w:bottom w:val="none" w:sz="0" w:space="0" w:color="auto"/>
        <w:right w:val="none" w:sz="0" w:space="0" w:color="auto"/>
      </w:divBdr>
    </w:div>
    <w:div w:id="20941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27</cp:revision>
  <dcterms:created xsi:type="dcterms:W3CDTF">2025-02-28T07:23:00Z</dcterms:created>
  <dcterms:modified xsi:type="dcterms:W3CDTF">2025-03-24T12:10:00Z</dcterms:modified>
</cp:coreProperties>
</file>