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3D59" w14:textId="77777777" w:rsidR="00E02136" w:rsidRPr="005740E6" w:rsidRDefault="00E02136" w:rsidP="00E02136">
      <w:pPr>
        <w:adjustRightInd w:val="0"/>
        <w:snapToGrid w:val="0"/>
        <w:spacing w:line="360" w:lineRule="auto"/>
        <w:jc w:val="center"/>
        <w:rPr>
          <w:rFonts w:ascii="方正小标宋简体" w:eastAsia="方正小标宋简体" w:hAnsi="黑体" w:hint="eastAsia"/>
          <w:sz w:val="44"/>
          <w:szCs w:val="44"/>
        </w:rPr>
      </w:pPr>
      <w:bookmarkStart w:id="0" w:name="_Hlk193656863"/>
      <w:r w:rsidRPr="005740E6">
        <w:rPr>
          <w:rFonts w:ascii="方正小标宋简体" w:eastAsia="方正小标宋简体" w:hAnsi="黑体" w:hint="eastAsia"/>
          <w:sz w:val="44"/>
          <w:szCs w:val="44"/>
        </w:rPr>
        <w:t>兽药哺乳动物骨髓细胞染色体畸变试验</w:t>
      </w:r>
      <w:bookmarkEnd w:id="0"/>
      <w:r w:rsidRPr="005740E6">
        <w:rPr>
          <w:rFonts w:ascii="方正小标宋简体" w:eastAsia="方正小标宋简体" w:hAnsi="黑体" w:hint="eastAsia"/>
          <w:sz w:val="44"/>
          <w:szCs w:val="44"/>
        </w:rPr>
        <w:t>技术指导原则</w:t>
      </w:r>
    </w:p>
    <w:p w14:paraId="7B6662C2" w14:textId="77777777" w:rsidR="00E02136" w:rsidRPr="005740E6" w:rsidRDefault="00E02136" w:rsidP="00E02136">
      <w:pPr>
        <w:adjustRightInd w:val="0"/>
        <w:snapToGrid w:val="0"/>
        <w:spacing w:line="360" w:lineRule="auto"/>
        <w:ind w:firstLineChars="200" w:firstLine="560"/>
        <w:jc w:val="both"/>
        <w:rPr>
          <w:rFonts w:ascii="黑体" w:eastAsia="黑体" w:hAnsi="黑体" w:hint="eastAsia"/>
          <w:sz w:val="28"/>
          <w:szCs w:val="28"/>
        </w:rPr>
      </w:pPr>
      <w:r w:rsidRPr="005740E6">
        <w:rPr>
          <w:rFonts w:ascii="黑体" w:eastAsia="黑体" w:hAnsi="黑体" w:hint="eastAsia"/>
          <w:sz w:val="28"/>
          <w:szCs w:val="28"/>
        </w:rPr>
        <w:t>一、概述</w:t>
      </w:r>
    </w:p>
    <w:p w14:paraId="21E7AE2E" w14:textId="77777777" w:rsidR="00E02136" w:rsidRPr="005740E6" w:rsidRDefault="00605A53" w:rsidP="00E02136">
      <w:pPr>
        <w:adjustRightInd w:val="0"/>
        <w:snapToGrid w:val="0"/>
        <w:spacing w:line="360" w:lineRule="auto"/>
        <w:ind w:firstLineChars="200" w:firstLine="480"/>
        <w:jc w:val="both"/>
        <w:rPr>
          <w:rFonts w:ascii="黑体" w:eastAsia="黑体" w:hAnsi="黑体" w:hint="eastAsia"/>
        </w:rPr>
      </w:pPr>
      <w:r>
        <w:rPr>
          <w:rFonts w:ascii="黑体" w:eastAsia="黑体" w:hAnsi="黑体" w:hint="eastAsia"/>
          <w:sz w:val="24"/>
        </w:rPr>
        <w:t>（一）</w:t>
      </w:r>
      <w:r w:rsidR="00E02136" w:rsidRPr="005740E6">
        <w:rPr>
          <w:rFonts w:ascii="黑体" w:eastAsia="黑体" w:hAnsi="黑体" w:hint="eastAsia"/>
          <w:sz w:val="24"/>
        </w:rPr>
        <w:t>目的</w:t>
      </w:r>
    </w:p>
    <w:p w14:paraId="5011DE5F"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哺乳动物骨髓染色体畸变试验是一种通过检测受试物引起动物（通常是啮齿类动物）骨髓细胞染色体结构畸变</w:t>
      </w:r>
      <w:bookmarkStart w:id="1" w:name="_Hlk174049094"/>
      <w:r w:rsidRPr="00595D0E">
        <w:rPr>
          <w:rFonts w:hint="eastAsia"/>
          <w:sz w:val="24"/>
        </w:rPr>
        <w:t>的能力</w:t>
      </w:r>
      <w:bookmarkEnd w:id="1"/>
      <w:r w:rsidRPr="00595D0E">
        <w:rPr>
          <w:rFonts w:hint="eastAsia"/>
          <w:sz w:val="24"/>
        </w:rPr>
        <w:t>以评价</w:t>
      </w:r>
      <w:proofErr w:type="gramStart"/>
      <w:r w:rsidRPr="00595D0E">
        <w:rPr>
          <w:rFonts w:hint="eastAsia"/>
          <w:sz w:val="24"/>
        </w:rPr>
        <w:t>受试物致突变性</w:t>
      </w:r>
      <w:proofErr w:type="gramEnd"/>
      <w:r w:rsidRPr="00595D0E">
        <w:rPr>
          <w:rFonts w:hint="eastAsia"/>
          <w:sz w:val="24"/>
        </w:rPr>
        <w:t>的方法。</w:t>
      </w:r>
      <w:bookmarkStart w:id="2" w:name="_Hlk174050010"/>
      <w:r w:rsidRPr="00595D0E">
        <w:rPr>
          <w:rFonts w:hint="eastAsia"/>
          <w:sz w:val="24"/>
        </w:rPr>
        <w:t>为收集足够的中期相细胞，在试验动物通过适当的途径接触受试物一定时间后，</w:t>
      </w:r>
      <w:proofErr w:type="gramStart"/>
      <w:r w:rsidRPr="00595D0E">
        <w:rPr>
          <w:rFonts w:hint="eastAsia"/>
          <w:sz w:val="24"/>
        </w:rPr>
        <w:t>用中期</w:t>
      </w:r>
      <w:proofErr w:type="gramEnd"/>
      <w:r w:rsidRPr="00595D0E">
        <w:rPr>
          <w:rFonts w:hint="eastAsia"/>
          <w:sz w:val="24"/>
        </w:rPr>
        <w:t>分裂相阻断剂（如秋水仙素或秋水仙碱）处理，抑制细胞分裂时纺锤体的形成，以便增加中期分裂相细胞的比例，随后处死、取材、制片、染色、分析染色体畸变。</w:t>
      </w:r>
      <w:bookmarkEnd w:id="2"/>
    </w:p>
    <w:p w14:paraId="588CBD2C"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本方法适用于检测染色体断裂剂。如果有证据表明受试物或其活性代谢产物在骨髓中无法达到足够的暴露量，则不适合使用本方法。本方法不适用于检测非整倍体诱导剂。</w:t>
      </w:r>
    </w:p>
    <w:p w14:paraId="2A4238F2"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为了确保兽药哺乳动物骨髓细胞染色体畸变试验结果的真实性、可靠性和</w:t>
      </w:r>
      <w:proofErr w:type="gramStart"/>
      <w:r w:rsidRPr="00595D0E">
        <w:rPr>
          <w:rFonts w:hint="eastAsia"/>
          <w:sz w:val="24"/>
        </w:rPr>
        <w:t>可</w:t>
      </w:r>
      <w:proofErr w:type="gramEnd"/>
      <w:r w:rsidRPr="00595D0E">
        <w:rPr>
          <w:rFonts w:hint="eastAsia"/>
          <w:sz w:val="24"/>
        </w:rPr>
        <w:t>追溯性，根据新兽药研究的规律，结合国内兽药毒理学评价的实际情况制定了本指导原则。对偏离本指导原则的试验研究，申请人应进行解释说明。</w:t>
      </w:r>
    </w:p>
    <w:p w14:paraId="498F6E56"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（二）适用范围</w:t>
      </w:r>
    </w:p>
    <w:p w14:paraId="47050A67" w14:textId="19909F79" w:rsidR="001B73C6" w:rsidRDefault="00BA4E48" w:rsidP="001B73C6">
      <w:pPr>
        <w:adjustRightInd w:val="0"/>
        <w:snapToGrid w:val="0"/>
        <w:spacing w:line="360" w:lineRule="auto"/>
        <w:ind w:firstLineChars="200" w:firstLine="480"/>
        <w:jc w:val="both"/>
      </w:pPr>
      <w:r w:rsidRPr="00BA4E48">
        <w:rPr>
          <w:rFonts w:hint="eastAsia"/>
          <w:sz w:val="24"/>
        </w:rPr>
        <w:t>本指导原则适用于兽用化学药物、兽用中药和兽用天然药物。消毒剂参考使用</w:t>
      </w:r>
      <w:r w:rsidR="001B73C6">
        <w:rPr>
          <w:rFonts w:hint="eastAsia"/>
          <w:sz w:val="24"/>
        </w:rPr>
        <w:t>。</w:t>
      </w:r>
    </w:p>
    <w:p w14:paraId="74217B39" w14:textId="77777777" w:rsidR="00180556" w:rsidRPr="00D97350" w:rsidRDefault="00180556" w:rsidP="00180556">
      <w:pPr>
        <w:adjustRightInd w:val="0"/>
        <w:snapToGrid w:val="0"/>
        <w:spacing w:line="360" w:lineRule="auto"/>
        <w:ind w:firstLineChars="200" w:firstLine="560"/>
        <w:jc w:val="both"/>
        <w:rPr>
          <w:rFonts w:ascii="黑体" w:eastAsia="黑体" w:hAnsi="黑体" w:hint="eastAsia"/>
          <w:sz w:val="28"/>
          <w:szCs w:val="28"/>
        </w:rPr>
      </w:pPr>
      <w:r w:rsidRPr="00D97350">
        <w:rPr>
          <w:rFonts w:ascii="黑体" w:eastAsia="黑体" w:hAnsi="黑体" w:hint="eastAsia"/>
          <w:sz w:val="28"/>
          <w:szCs w:val="28"/>
        </w:rPr>
        <w:t>二、基本原则</w:t>
      </w:r>
    </w:p>
    <w:p w14:paraId="4381205C" w14:textId="77777777" w:rsidR="00180556" w:rsidRPr="000500D4" w:rsidRDefault="00180556" w:rsidP="00180556">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（一）实验管理</w:t>
      </w:r>
    </w:p>
    <w:p w14:paraId="4BC33D91" w14:textId="3B49D497" w:rsidR="00180556" w:rsidRPr="000500D4" w:rsidRDefault="00180556" w:rsidP="00180556">
      <w:pPr>
        <w:adjustRightInd w:val="0"/>
        <w:snapToGrid w:val="0"/>
        <w:spacing w:line="360" w:lineRule="auto"/>
        <w:ind w:firstLineChars="200" w:firstLine="480"/>
        <w:jc w:val="both"/>
        <w:rPr>
          <w:sz w:val="24"/>
        </w:rPr>
      </w:pPr>
      <w:r w:rsidRPr="00180556">
        <w:rPr>
          <w:rFonts w:hint="eastAsia"/>
          <w:sz w:val="24"/>
        </w:rPr>
        <w:t>兽药哺乳动物骨髓细胞染色体畸变试验</w:t>
      </w:r>
      <w:r w:rsidRPr="000500D4">
        <w:rPr>
          <w:rFonts w:hint="eastAsia"/>
          <w:sz w:val="24"/>
        </w:rPr>
        <w:t>须执行《兽药非临床研究质量管理规范》或《药物非临床研究质量管理规范》。</w:t>
      </w:r>
    </w:p>
    <w:p w14:paraId="1C1DBCD8" w14:textId="77777777" w:rsidR="00180556" w:rsidRPr="000500D4" w:rsidRDefault="00180556" w:rsidP="00180556">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（二）具体问题具体分析</w:t>
      </w:r>
    </w:p>
    <w:p w14:paraId="3BE263CA" w14:textId="44EEF1F1" w:rsidR="00180556" w:rsidRPr="000500D4" w:rsidRDefault="00180556" w:rsidP="00180556">
      <w:pPr>
        <w:adjustRightInd w:val="0"/>
        <w:snapToGrid w:val="0"/>
        <w:spacing w:line="360" w:lineRule="auto"/>
        <w:ind w:firstLineChars="200" w:firstLine="480"/>
        <w:jc w:val="both"/>
        <w:rPr>
          <w:sz w:val="24"/>
        </w:rPr>
      </w:pPr>
      <w:r w:rsidRPr="00180556">
        <w:rPr>
          <w:rFonts w:hint="eastAsia"/>
          <w:sz w:val="24"/>
        </w:rPr>
        <w:t>兽药哺乳动物骨髓细胞染色体畸变试验</w:t>
      </w:r>
      <w:r w:rsidRPr="000500D4">
        <w:rPr>
          <w:rFonts w:hint="eastAsia"/>
          <w:sz w:val="24"/>
        </w:rPr>
        <w:t>的设计，应在对受试物认知的基础上，遵循“具体问题具体分析”的原则。应根据受试物的结构特点、理化性质、已有</w:t>
      </w:r>
      <w:r w:rsidRPr="000500D4">
        <w:rPr>
          <w:rFonts w:hint="eastAsia"/>
          <w:sz w:val="24"/>
        </w:rPr>
        <w:lastRenderedPageBreak/>
        <w:t>的药理毒理研究信息、适应证和适用</w:t>
      </w:r>
      <w:proofErr w:type="gramStart"/>
      <w:r w:rsidRPr="000500D4">
        <w:rPr>
          <w:rFonts w:hint="eastAsia"/>
          <w:sz w:val="24"/>
        </w:rPr>
        <w:t>靶动物</w:t>
      </w:r>
      <w:proofErr w:type="gramEnd"/>
      <w:r w:rsidRPr="000500D4">
        <w:rPr>
          <w:rFonts w:hint="eastAsia"/>
          <w:sz w:val="24"/>
        </w:rPr>
        <w:t>特点、临床用药方案等选择合理的试验方法，设计适宜的试验方案，并综合上述信息对试验结果进行全面分析评价。</w:t>
      </w:r>
    </w:p>
    <w:p w14:paraId="7C2B8B3B" w14:textId="5CFB320B" w:rsidR="00E02136" w:rsidRPr="005740E6" w:rsidRDefault="009F4DFF" w:rsidP="00E02136">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三</w:t>
      </w:r>
      <w:r w:rsidR="00E02136" w:rsidRPr="005740E6">
        <w:rPr>
          <w:rFonts w:ascii="黑体" w:eastAsia="黑体" w:hAnsi="黑体" w:hint="eastAsia"/>
          <w:sz w:val="28"/>
          <w:szCs w:val="28"/>
        </w:rPr>
        <w:t>、试验设计</w:t>
      </w:r>
    </w:p>
    <w:p w14:paraId="2D894C4C"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（一）实验动物</w:t>
      </w:r>
    </w:p>
    <w:p w14:paraId="0740CED0" w14:textId="77777777" w:rsidR="00E02136" w:rsidRPr="005740E6" w:rsidRDefault="00E02136" w:rsidP="00E02136">
      <w:pPr>
        <w:adjustRightInd w:val="0"/>
        <w:snapToGrid w:val="0"/>
        <w:spacing w:line="360" w:lineRule="auto"/>
        <w:ind w:firstLineChars="200" w:firstLine="480"/>
        <w:jc w:val="both"/>
        <w:rPr>
          <w:noProof/>
          <w:kern w:val="0"/>
          <w:sz w:val="24"/>
        </w:rPr>
      </w:pPr>
      <w:r w:rsidRPr="005740E6">
        <w:rPr>
          <w:noProof/>
          <w:kern w:val="0"/>
          <w:sz w:val="24"/>
        </w:rPr>
        <w:t>1.</w:t>
      </w:r>
      <w:r w:rsidRPr="005740E6">
        <w:rPr>
          <w:rFonts w:hint="eastAsia"/>
          <w:noProof/>
          <w:kern w:val="0"/>
          <w:sz w:val="24"/>
        </w:rPr>
        <w:t>动物选择</w:t>
      </w:r>
    </w:p>
    <w:p w14:paraId="5C4AB4D0" w14:textId="77777777" w:rsidR="00E02136" w:rsidRPr="008D47BA" w:rsidRDefault="00E02136" w:rsidP="00E02136">
      <w:pPr>
        <w:adjustRightInd w:val="0"/>
        <w:snapToGrid w:val="0"/>
        <w:spacing w:line="360" w:lineRule="auto"/>
        <w:ind w:firstLineChars="200" w:firstLine="480"/>
        <w:jc w:val="both"/>
        <w:rPr>
          <w:noProof/>
          <w:kern w:val="0"/>
          <w:sz w:val="24"/>
        </w:rPr>
      </w:pPr>
      <w:r w:rsidRPr="008D47BA">
        <w:rPr>
          <w:noProof/>
          <w:kern w:val="0"/>
          <w:sz w:val="24"/>
        </w:rPr>
        <w:t>该试验通常使用小鼠和大鼠。</w:t>
      </w:r>
      <w:r w:rsidRPr="005740E6">
        <w:rPr>
          <w:rFonts w:hint="eastAsia"/>
          <w:noProof/>
          <w:kern w:val="0"/>
          <w:sz w:val="24"/>
        </w:rPr>
        <w:t>若采用其他哺乳动物，需提供相应的科学依据。</w:t>
      </w:r>
      <w:r w:rsidRPr="008D47BA">
        <w:rPr>
          <w:rFonts w:hint="eastAsia"/>
          <w:noProof/>
          <w:kern w:val="0"/>
          <w:sz w:val="24"/>
        </w:rPr>
        <w:t>应从有实验动物资质证明的饲养单位购买。如果没有资质证明，动物应来源清楚，饲养规范。</w:t>
      </w:r>
    </w:p>
    <w:p w14:paraId="390772B2" w14:textId="52299846" w:rsidR="00E02136" w:rsidRPr="008D47BA" w:rsidRDefault="00E02136" w:rsidP="00E02136">
      <w:pPr>
        <w:adjustRightInd w:val="0"/>
        <w:snapToGrid w:val="0"/>
        <w:spacing w:line="360" w:lineRule="auto"/>
        <w:ind w:firstLineChars="200" w:firstLine="480"/>
        <w:jc w:val="both"/>
        <w:rPr>
          <w:noProof/>
          <w:kern w:val="0"/>
          <w:sz w:val="24"/>
        </w:rPr>
      </w:pPr>
      <w:bookmarkStart w:id="3" w:name="_Hlk182423346"/>
      <w:r w:rsidRPr="008D47BA">
        <w:rPr>
          <w:noProof/>
          <w:kern w:val="0"/>
          <w:sz w:val="24"/>
        </w:rPr>
        <w:t>采用健康</w:t>
      </w:r>
      <w:r w:rsidR="00607BB7">
        <w:rPr>
          <w:rFonts w:hint="eastAsia"/>
          <w:noProof/>
          <w:kern w:val="0"/>
          <w:sz w:val="24"/>
        </w:rPr>
        <w:t>、</w:t>
      </w:r>
      <w:r w:rsidR="00605A53">
        <w:rPr>
          <w:rFonts w:hint="eastAsia"/>
          <w:noProof/>
          <w:kern w:val="0"/>
          <w:sz w:val="24"/>
        </w:rPr>
        <w:t>性成熟</w:t>
      </w:r>
      <w:r w:rsidRPr="008D47BA">
        <w:rPr>
          <w:noProof/>
          <w:kern w:val="0"/>
          <w:sz w:val="24"/>
        </w:rPr>
        <w:t>动物，</w:t>
      </w:r>
      <w:bookmarkStart w:id="4" w:name="_Hlk182423158"/>
      <w:r w:rsidRPr="008D47BA">
        <w:rPr>
          <w:noProof/>
          <w:kern w:val="0"/>
          <w:sz w:val="24"/>
        </w:rPr>
        <w:t>啮齿类动物给药起始年龄建议为</w:t>
      </w:r>
      <w:r w:rsidRPr="008D47BA">
        <w:rPr>
          <w:noProof/>
          <w:kern w:val="0"/>
          <w:sz w:val="24"/>
        </w:rPr>
        <w:t>6</w:t>
      </w:r>
      <w:r w:rsidRPr="008D47BA">
        <w:rPr>
          <w:noProof/>
          <w:kern w:val="0"/>
          <w:sz w:val="24"/>
        </w:rPr>
        <w:t>～</w:t>
      </w:r>
      <w:r w:rsidRPr="008D47BA">
        <w:rPr>
          <w:noProof/>
          <w:kern w:val="0"/>
          <w:sz w:val="24"/>
        </w:rPr>
        <w:t>10</w:t>
      </w:r>
      <w:r w:rsidRPr="008D47BA">
        <w:rPr>
          <w:noProof/>
          <w:kern w:val="0"/>
          <w:sz w:val="24"/>
        </w:rPr>
        <w:t>周龄</w:t>
      </w:r>
      <w:bookmarkEnd w:id="3"/>
      <w:bookmarkEnd w:id="4"/>
      <w:r w:rsidRPr="008D47BA">
        <w:rPr>
          <w:noProof/>
          <w:kern w:val="0"/>
          <w:sz w:val="24"/>
        </w:rPr>
        <w:t>。</w:t>
      </w:r>
      <w:bookmarkStart w:id="5" w:name="_Hlk172406949"/>
      <w:bookmarkStart w:id="6" w:name="_Hlk172449518"/>
    </w:p>
    <w:p w14:paraId="6DC7D60D" w14:textId="77777777" w:rsidR="00E02136" w:rsidRPr="008D47BA" w:rsidRDefault="00E02136" w:rsidP="00E02136">
      <w:pPr>
        <w:adjustRightInd w:val="0"/>
        <w:snapToGrid w:val="0"/>
        <w:spacing w:line="360" w:lineRule="auto"/>
        <w:ind w:firstLineChars="200" w:firstLine="480"/>
        <w:jc w:val="both"/>
        <w:rPr>
          <w:noProof/>
          <w:kern w:val="0"/>
          <w:sz w:val="24"/>
        </w:rPr>
      </w:pPr>
      <w:bookmarkStart w:id="7" w:name="_Hlk182423392"/>
      <w:bookmarkEnd w:id="5"/>
      <w:bookmarkEnd w:id="6"/>
      <w:r w:rsidRPr="008D47BA">
        <w:rPr>
          <w:noProof/>
          <w:kern w:val="0"/>
          <w:sz w:val="24"/>
        </w:rPr>
        <w:t>试验开始时，动物体重变异应不超过同性别平均体重的</w:t>
      </w:r>
      <w:r w:rsidRPr="008D47BA">
        <w:rPr>
          <w:noProof/>
          <w:kern w:val="0"/>
          <w:sz w:val="24"/>
        </w:rPr>
        <w:t>±20%</w:t>
      </w:r>
      <w:bookmarkEnd w:id="7"/>
      <w:r w:rsidRPr="008D47BA">
        <w:rPr>
          <w:noProof/>
          <w:kern w:val="0"/>
          <w:sz w:val="24"/>
        </w:rPr>
        <w:t>。</w:t>
      </w:r>
    </w:p>
    <w:p w14:paraId="266BA430" w14:textId="77777777" w:rsidR="00E02136" w:rsidRPr="005740E6" w:rsidRDefault="00E02136" w:rsidP="00E02136">
      <w:pPr>
        <w:adjustRightInd w:val="0"/>
        <w:snapToGrid w:val="0"/>
        <w:spacing w:line="360" w:lineRule="auto"/>
        <w:ind w:firstLineChars="200" w:firstLine="480"/>
        <w:jc w:val="both"/>
        <w:rPr>
          <w:noProof/>
          <w:kern w:val="0"/>
          <w:sz w:val="24"/>
        </w:rPr>
      </w:pPr>
      <w:r w:rsidRPr="005740E6">
        <w:rPr>
          <w:noProof/>
          <w:kern w:val="0"/>
          <w:sz w:val="24"/>
        </w:rPr>
        <w:t>2.</w:t>
      </w:r>
      <w:r w:rsidRPr="005740E6">
        <w:rPr>
          <w:rFonts w:hint="eastAsia"/>
          <w:noProof/>
          <w:kern w:val="0"/>
          <w:sz w:val="24"/>
        </w:rPr>
        <w:t>动物数量</w:t>
      </w:r>
    </w:p>
    <w:p w14:paraId="0A869BD5" w14:textId="77777777" w:rsidR="00E02136" w:rsidRPr="005740E6" w:rsidRDefault="00E02136" w:rsidP="00E02136">
      <w:pPr>
        <w:adjustRightInd w:val="0"/>
        <w:snapToGrid w:val="0"/>
        <w:spacing w:line="360" w:lineRule="auto"/>
        <w:ind w:firstLineChars="200" w:firstLine="480"/>
        <w:jc w:val="both"/>
        <w:rPr>
          <w:noProof/>
          <w:kern w:val="0"/>
          <w:sz w:val="24"/>
        </w:rPr>
      </w:pPr>
      <w:bookmarkStart w:id="8" w:name="_Hlk182423587"/>
      <w:r w:rsidRPr="005740E6">
        <w:rPr>
          <w:rFonts w:hint="eastAsia"/>
          <w:noProof/>
          <w:kern w:val="0"/>
          <w:sz w:val="24"/>
        </w:rPr>
        <w:t>每组每个采样时间点可分析的雌、雄动物数至少各</w:t>
      </w:r>
      <w:r w:rsidRPr="005740E6">
        <w:rPr>
          <w:noProof/>
          <w:kern w:val="0"/>
          <w:sz w:val="24"/>
        </w:rPr>
        <w:t>5</w:t>
      </w:r>
      <w:r w:rsidRPr="005740E6">
        <w:rPr>
          <w:rFonts w:hint="eastAsia"/>
          <w:noProof/>
          <w:kern w:val="0"/>
          <w:sz w:val="24"/>
        </w:rPr>
        <w:t>只</w:t>
      </w:r>
      <w:bookmarkEnd w:id="8"/>
      <w:r w:rsidRPr="005740E6">
        <w:rPr>
          <w:rFonts w:hint="eastAsia"/>
          <w:noProof/>
          <w:kern w:val="0"/>
          <w:sz w:val="24"/>
        </w:rPr>
        <w:t>。</w:t>
      </w:r>
    </w:p>
    <w:p w14:paraId="6914FE69" w14:textId="77777777" w:rsidR="00E02136" w:rsidRPr="005740E6" w:rsidRDefault="00E02136" w:rsidP="00E02136">
      <w:pPr>
        <w:adjustRightInd w:val="0"/>
        <w:snapToGrid w:val="0"/>
        <w:spacing w:line="360" w:lineRule="auto"/>
        <w:ind w:firstLineChars="200" w:firstLine="480"/>
        <w:jc w:val="both"/>
        <w:rPr>
          <w:noProof/>
          <w:kern w:val="0"/>
          <w:sz w:val="24"/>
        </w:rPr>
      </w:pPr>
      <w:r w:rsidRPr="005740E6">
        <w:rPr>
          <w:noProof/>
          <w:kern w:val="0"/>
          <w:sz w:val="24"/>
        </w:rPr>
        <w:t>3.</w:t>
      </w:r>
      <w:r w:rsidRPr="005740E6">
        <w:rPr>
          <w:rFonts w:hint="eastAsia"/>
          <w:noProof/>
          <w:kern w:val="0"/>
          <w:sz w:val="24"/>
        </w:rPr>
        <w:t>动物管理</w:t>
      </w:r>
    </w:p>
    <w:p w14:paraId="6570FFA6" w14:textId="77777777" w:rsidR="00E02136" w:rsidRPr="008D47BA" w:rsidRDefault="00E02136" w:rsidP="00E02136">
      <w:pPr>
        <w:adjustRightInd w:val="0"/>
        <w:snapToGrid w:val="0"/>
        <w:spacing w:line="360" w:lineRule="auto"/>
        <w:ind w:firstLineChars="200" w:firstLine="480"/>
        <w:jc w:val="both"/>
        <w:rPr>
          <w:noProof/>
          <w:kern w:val="0"/>
          <w:sz w:val="24"/>
        </w:rPr>
      </w:pPr>
      <w:r w:rsidRPr="008D47BA">
        <w:rPr>
          <w:rFonts w:hint="eastAsia"/>
          <w:noProof/>
          <w:kern w:val="0"/>
          <w:sz w:val="24"/>
        </w:rPr>
        <w:t>实验动物分别进行标记编号和称重，随机分组。</w:t>
      </w:r>
    </w:p>
    <w:p w14:paraId="3B0C66A9" w14:textId="70DD6DEF" w:rsidR="00E02136" w:rsidRPr="008D47BA" w:rsidRDefault="00E02136" w:rsidP="00E02136">
      <w:pPr>
        <w:adjustRightInd w:val="0"/>
        <w:snapToGrid w:val="0"/>
        <w:spacing w:line="360" w:lineRule="auto"/>
        <w:ind w:firstLineChars="200" w:firstLine="480"/>
        <w:jc w:val="both"/>
        <w:rPr>
          <w:noProof/>
          <w:kern w:val="0"/>
          <w:sz w:val="24"/>
        </w:rPr>
      </w:pPr>
      <w:r w:rsidRPr="008D47BA">
        <w:rPr>
          <w:rFonts w:hint="eastAsia"/>
          <w:noProof/>
          <w:kern w:val="0"/>
          <w:sz w:val="24"/>
        </w:rPr>
        <w:t>试验前，</w:t>
      </w:r>
      <w:bookmarkStart w:id="9" w:name="_Hlk182490138"/>
      <w:r w:rsidR="00091FB7" w:rsidRPr="00091FB7">
        <w:rPr>
          <w:rFonts w:hint="eastAsia"/>
          <w:noProof/>
          <w:kern w:val="0"/>
          <w:sz w:val="24"/>
        </w:rPr>
        <w:t>应进行检疫观察</w:t>
      </w:r>
      <w:r w:rsidR="00091FB7">
        <w:rPr>
          <w:rFonts w:hint="eastAsia"/>
          <w:noProof/>
          <w:kern w:val="0"/>
          <w:sz w:val="24"/>
        </w:rPr>
        <w:t>，</w:t>
      </w:r>
      <w:r w:rsidRPr="008D47BA">
        <w:rPr>
          <w:rFonts w:hint="eastAsia"/>
          <w:noProof/>
          <w:kern w:val="0"/>
          <w:sz w:val="24"/>
        </w:rPr>
        <w:t>环境适应期至少为</w:t>
      </w:r>
      <w:r w:rsidRPr="008D47BA">
        <w:rPr>
          <w:noProof/>
          <w:kern w:val="0"/>
          <w:sz w:val="24"/>
        </w:rPr>
        <w:t>5</w:t>
      </w:r>
      <w:r w:rsidRPr="008D47BA">
        <w:rPr>
          <w:rFonts w:hint="eastAsia"/>
          <w:noProof/>
          <w:kern w:val="0"/>
          <w:sz w:val="24"/>
        </w:rPr>
        <w:t>天</w:t>
      </w:r>
      <w:bookmarkEnd w:id="9"/>
      <w:r w:rsidRPr="008D47BA">
        <w:rPr>
          <w:rFonts w:hint="eastAsia"/>
          <w:noProof/>
          <w:kern w:val="0"/>
          <w:sz w:val="24"/>
        </w:rPr>
        <w:t>。</w:t>
      </w:r>
    </w:p>
    <w:p w14:paraId="65CB35B0" w14:textId="0A628FE1" w:rsidR="00E02136" w:rsidRPr="008D47BA" w:rsidRDefault="00E02136" w:rsidP="00E02136">
      <w:pPr>
        <w:adjustRightInd w:val="0"/>
        <w:snapToGrid w:val="0"/>
        <w:spacing w:line="360" w:lineRule="auto"/>
        <w:ind w:firstLineChars="200" w:firstLine="480"/>
        <w:jc w:val="both"/>
        <w:rPr>
          <w:noProof/>
          <w:kern w:val="0"/>
          <w:sz w:val="24"/>
        </w:rPr>
      </w:pPr>
      <w:bookmarkStart w:id="10" w:name="_Hlk182423930"/>
      <w:r w:rsidRPr="008D47BA">
        <w:rPr>
          <w:rFonts w:hint="eastAsia"/>
          <w:noProof/>
          <w:kern w:val="0"/>
          <w:sz w:val="24"/>
        </w:rPr>
        <w:t>饲养</w:t>
      </w:r>
      <w:r w:rsidRPr="008D47BA">
        <w:rPr>
          <w:noProof/>
          <w:kern w:val="0"/>
          <w:sz w:val="24"/>
        </w:rPr>
        <w:t>条件</w:t>
      </w:r>
      <w:r w:rsidRPr="008D47BA">
        <w:rPr>
          <w:rFonts w:hint="eastAsia"/>
          <w:noProof/>
          <w:kern w:val="0"/>
          <w:sz w:val="24"/>
        </w:rPr>
        <w:t>应</w:t>
      </w:r>
      <w:r w:rsidRPr="008D47BA">
        <w:rPr>
          <w:noProof/>
          <w:kern w:val="0"/>
          <w:sz w:val="24"/>
        </w:rPr>
        <w:t>符合现行国家标准要求</w:t>
      </w:r>
      <w:r w:rsidRPr="008D47BA">
        <w:rPr>
          <w:rFonts w:hint="eastAsia"/>
          <w:noProof/>
          <w:kern w:val="0"/>
          <w:sz w:val="24"/>
        </w:rPr>
        <w:t>。同一处理组的同一性别动物应一起笼养（每笼不超过</w:t>
      </w:r>
      <w:r w:rsidRPr="008D47BA">
        <w:rPr>
          <w:noProof/>
          <w:kern w:val="0"/>
          <w:sz w:val="24"/>
        </w:rPr>
        <w:t>5</w:t>
      </w:r>
      <w:r w:rsidRPr="008D47BA">
        <w:rPr>
          <w:rFonts w:hint="eastAsia"/>
          <w:noProof/>
          <w:kern w:val="0"/>
          <w:sz w:val="24"/>
        </w:rPr>
        <w:t>只，以</w:t>
      </w:r>
      <w:r w:rsidRPr="008D47BA">
        <w:rPr>
          <w:noProof/>
          <w:kern w:val="0"/>
          <w:sz w:val="24"/>
        </w:rPr>
        <w:t>不</w:t>
      </w:r>
      <w:r w:rsidRPr="008D47BA">
        <w:rPr>
          <w:rFonts w:hint="eastAsia"/>
          <w:noProof/>
          <w:kern w:val="0"/>
          <w:sz w:val="24"/>
        </w:rPr>
        <w:t>影响</w:t>
      </w:r>
      <w:r w:rsidRPr="008D47BA">
        <w:rPr>
          <w:noProof/>
          <w:kern w:val="0"/>
          <w:sz w:val="24"/>
        </w:rPr>
        <w:t>动物自由活动和症状考察、指标测定为宜</w:t>
      </w:r>
      <w:r w:rsidRPr="008D47BA">
        <w:rPr>
          <w:rFonts w:hint="eastAsia"/>
          <w:noProof/>
          <w:kern w:val="0"/>
          <w:sz w:val="24"/>
        </w:rPr>
        <w:t>）。若动物单只饲养须有充分的科学依据。笼子的安放应随机安排，尽可能减小位置造成的影响。避免阳性对照物和</w:t>
      </w:r>
      <w:r w:rsidR="00D03DB6">
        <w:rPr>
          <w:rFonts w:hint="eastAsia"/>
          <w:noProof/>
          <w:kern w:val="0"/>
          <w:sz w:val="24"/>
        </w:rPr>
        <w:t>受试物</w:t>
      </w:r>
      <w:r w:rsidRPr="008D47BA">
        <w:rPr>
          <w:rFonts w:hint="eastAsia"/>
          <w:noProof/>
          <w:kern w:val="0"/>
          <w:sz w:val="24"/>
        </w:rPr>
        <w:t>之间交叉污染。</w:t>
      </w:r>
    </w:p>
    <w:bookmarkEnd w:id="10"/>
    <w:p w14:paraId="3FD7880A" w14:textId="79938714"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（二）</w:t>
      </w:r>
      <w:r w:rsidR="00D03DB6">
        <w:rPr>
          <w:rFonts w:ascii="黑体" w:eastAsia="黑体" w:hAnsi="黑体" w:hint="eastAsia"/>
          <w:sz w:val="24"/>
        </w:rPr>
        <w:t>受试物</w:t>
      </w:r>
    </w:p>
    <w:p w14:paraId="6FB7AA99" w14:textId="77777777" w:rsidR="00D03DB6" w:rsidRDefault="00D03DB6" w:rsidP="00D03DB6">
      <w:pPr>
        <w:adjustRightInd w:val="0"/>
        <w:snapToGrid w:val="0"/>
        <w:spacing w:line="360" w:lineRule="auto"/>
        <w:ind w:firstLineChars="200" w:firstLine="480"/>
        <w:jc w:val="both"/>
        <w:rPr>
          <w:sz w:val="24"/>
        </w:rPr>
      </w:pPr>
      <w:r w:rsidRPr="00FD3B6F">
        <w:rPr>
          <w:rFonts w:hint="eastAsia"/>
          <w:sz w:val="24"/>
        </w:rPr>
        <w:t>化学药物：受试物应采用工艺相对稳定、纯度和杂质含量能反映临床试验拟用样品和</w:t>
      </w:r>
      <w:r w:rsidRPr="00FD3B6F">
        <w:rPr>
          <w:rFonts w:hint="eastAsia"/>
          <w:sz w:val="24"/>
        </w:rPr>
        <w:t>/</w:t>
      </w:r>
      <w:r w:rsidRPr="00FD3B6F">
        <w:rPr>
          <w:rFonts w:hint="eastAsia"/>
          <w:sz w:val="24"/>
        </w:rPr>
        <w:t>或上市样品质量和安全性的样品。应注明受试物名称、来源、批号、生产日期、含量（或规格）、保存条件、有效期及配制方法等，并提供质量检验报告。试验中所用溶媒和</w:t>
      </w:r>
      <w:r w:rsidRPr="00FD3B6F">
        <w:rPr>
          <w:rFonts w:hint="eastAsia"/>
          <w:sz w:val="24"/>
        </w:rPr>
        <w:t>/</w:t>
      </w:r>
      <w:r w:rsidRPr="00FD3B6F">
        <w:rPr>
          <w:rFonts w:hint="eastAsia"/>
          <w:sz w:val="24"/>
        </w:rPr>
        <w:t>或辅料应标明名称、标准、批号、有效期、规格和生产单位等，并符合试验要求。</w:t>
      </w:r>
    </w:p>
    <w:p w14:paraId="74189D59" w14:textId="77777777" w:rsidR="00D03DB6" w:rsidRPr="00FD3B6F" w:rsidRDefault="00D03DB6" w:rsidP="00D03DB6">
      <w:pPr>
        <w:adjustRightInd w:val="0"/>
        <w:snapToGrid w:val="0"/>
        <w:spacing w:line="360" w:lineRule="auto"/>
        <w:ind w:firstLineChars="200" w:firstLine="480"/>
        <w:jc w:val="both"/>
        <w:rPr>
          <w:sz w:val="24"/>
        </w:rPr>
      </w:pPr>
      <w:r w:rsidRPr="00FD3B6F">
        <w:rPr>
          <w:rFonts w:hint="eastAsia"/>
          <w:sz w:val="24"/>
        </w:rPr>
        <w:t>中药、天然药物：受试物应采用能充分代表临床试验拟用样品和</w:t>
      </w:r>
      <w:r w:rsidRPr="00FD3B6F">
        <w:rPr>
          <w:rFonts w:hint="eastAsia"/>
          <w:sz w:val="24"/>
        </w:rPr>
        <w:t>/</w:t>
      </w:r>
      <w:r w:rsidRPr="00FD3B6F">
        <w:rPr>
          <w:rFonts w:hint="eastAsia"/>
          <w:sz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w:t>
      </w:r>
      <w:r w:rsidRPr="00FD3B6F">
        <w:rPr>
          <w:rFonts w:hint="eastAsia"/>
          <w:sz w:val="24"/>
        </w:rPr>
        <w:lastRenderedPageBreak/>
        <w:t>制后受试物的质量稳定性及均匀性。如果由于给药容量或给药方法限制，可采用原料药进行试验。试验中所用溶媒和</w:t>
      </w:r>
      <w:r w:rsidRPr="00FD3B6F">
        <w:rPr>
          <w:rFonts w:hint="eastAsia"/>
          <w:sz w:val="24"/>
        </w:rPr>
        <w:t>/</w:t>
      </w:r>
      <w:r w:rsidRPr="00FD3B6F">
        <w:rPr>
          <w:rFonts w:hint="eastAsia"/>
          <w:sz w:val="24"/>
        </w:rPr>
        <w:t>或辅料应标明名称、标准、批号、有效期、规格及生产单位。</w:t>
      </w:r>
    </w:p>
    <w:p w14:paraId="6F596394" w14:textId="77777777" w:rsidR="00D03DB6" w:rsidRPr="00FD3B6F" w:rsidRDefault="00D03DB6" w:rsidP="00D03DB6">
      <w:pPr>
        <w:adjustRightInd w:val="0"/>
        <w:snapToGrid w:val="0"/>
        <w:spacing w:line="360" w:lineRule="auto"/>
        <w:ind w:firstLineChars="200" w:firstLine="480"/>
        <w:jc w:val="both"/>
        <w:rPr>
          <w:sz w:val="24"/>
        </w:rPr>
      </w:pPr>
      <w:r w:rsidRPr="00FD3B6F">
        <w:rPr>
          <w:rFonts w:hint="eastAsia"/>
          <w:sz w:val="24"/>
        </w:rPr>
        <w:t>在药物研发的过程中，若受试物的工艺发生变化可能影响其安全性的，应进行相应的安全性研究。</w:t>
      </w:r>
    </w:p>
    <w:p w14:paraId="759CEA7B" w14:textId="77777777" w:rsidR="00D03DB6" w:rsidRDefault="00D03DB6" w:rsidP="00E02136">
      <w:pPr>
        <w:adjustRightInd w:val="0"/>
        <w:snapToGrid w:val="0"/>
        <w:spacing w:line="360" w:lineRule="auto"/>
        <w:ind w:firstLineChars="200" w:firstLine="480"/>
        <w:jc w:val="both"/>
        <w:rPr>
          <w:sz w:val="24"/>
        </w:rPr>
      </w:pPr>
      <w:r w:rsidRPr="00FD3B6F">
        <w:rPr>
          <w:rFonts w:hint="eastAsia"/>
          <w:sz w:val="24"/>
        </w:rPr>
        <w:t>化学药物试验过程中应进行受试物样品分析，并提供样品分析报告。成分基本清楚的中药、天然药物也应进行受试物样品分析。</w:t>
      </w:r>
    </w:p>
    <w:p w14:paraId="6B3A8479" w14:textId="2410D1ED" w:rsidR="00E02136" w:rsidRPr="008D47BA" w:rsidRDefault="00E02136" w:rsidP="00E02136">
      <w:pPr>
        <w:adjustRightInd w:val="0"/>
        <w:snapToGrid w:val="0"/>
        <w:spacing w:line="360" w:lineRule="auto"/>
        <w:ind w:firstLineChars="200" w:firstLine="480"/>
        <w:jc w:val="both"/>
        <w:rPr>
          <w:noProof/>
          <w:kern w:val="0"/>
          <w:sz w:val="24"/>
        </w:rPr>
      </w:pPr>
      <w:r w:rsidRPr="008D47BA">
        <w:rPr>
          <w:rFonts w:hint="eastAsia"/>
          <w:noProof/>
          <w:kern w:val="0"/>
          <w:sz w:val="24"/>
        </w:rPr>
        <w:t>给药前，固体</w:t>
      </w:r>
      <w:r w:rsidR="00D03DB6">
        <w:rPr>
          <w:rFonts w:hint="eastAsia"/>
          <w:noProof/>
          <w:kern w:val="0"/>
          <w:sz w:val="24"/>
        </w:rPr>
        <w:t>受试物</w:t>
      </w:r>
      <w:r w:rsidRPr="008D47BA">
        <w:rPr>
          <w:rFonts w:hint="eastAsia"/>
          <w:noProof/>
          <w:kern w:val="0"/>
          <w:sz w:val="24"/>
        </w:rPr>
        <w:t>应溶于或悬浮于适合的溶剂中；液体</w:t>
      </w:r>
      <w:r w:rsidR="00D03DB6">
        <w:rPr>
          <w:rFonts w:hint="eastAsia"/>
          <w:noProof/>
          <w:kern w:val="0"/>
          <w:sz w:val="24"/>
        </w:rPr>
        <w:t>受试物</w:t>
      </w:r>
      <w:r w:rsidRPr="008D47BA">
        <w:rPr>
          <w:rFonts w:hint="eastAsia"/>
          <w:noProof/>
          <w:kern w:val="0"/>
          <w:sz w:val="24"/>
        </w:rPr>
        <w:t>可直接给药或在给药前进行稀释；</w:t>
      </w:r>
      <w:r w:rsidRPr="005740E6">
        <w:rPr>
          <w:rFonts w:hint="eastAsia"/>
          <w:noProof/>
          <w:kern w:val="0"/>
          <w:sz w:val="24"/>
        </w:rPr>
        <w:t>对于吸入给药，根据</w:t>
      </w:r>
      <w:r w:rsidR="00D03DB6">
        <w:rPr>
          <w:rFonts w:hint="eastAsia"/>
          <w:noProof/>
          <w:kern w:val="0"/>
          <w:sz w:val="24"/>
        </w:rPr>
        <w:t>受试物</w:t>
      </w:r>
      <w:r w:rsidRPr="005740E6">
        <w:rPr>
          <w:rFonts w:hint="eastAsia"/>
          <w:noProof/>
          <w:kern w:val="0"/>
          <w:sz w:val="24"/>
        </w:rPr>
        <w:t>的理化性质，可以气体、蒸汽或固液气雾的形式给药</w:t>
      </w:r>
      <w:r w:rsidRPr="008D47BA">
        <w:rPr>
          <w:rFonts w:hint="eastAsia"/>
          <w:noProof/>
          <w:kern w:val="0"/>
          <w:sz w:val="24"/>
        </w:rPr>
        <w:t>。所用溶媒和</w:t>
      </w:r>
      <w:r w:rsidRPr="008D47BA">
        <w:rPr>
          <w:noProof/>
          <w:kern w:val="0"/>
          <w:sz w:val="24"/>
        </w:rPr>
        <w:t>/</w:t>
      </w:r>
      <w:r w:rsidRPr="008D47BA">
        <w:rPr>
          <w:rFonts w:hint="eastAsia"/>
          <w:noProof/>
          <w:kern w:val="0"/>
          <w:sz w:val="24"/>
        </w:rPr>
        <w:t>或辅料应标明名称、标准、批号、有效期、规格和生产单位等信息，在使用浓度下不应产生毒性作用，并且不应与</w:t>
      </w:r>
      <w:r w:rsidR="00D03DB6">
        <w:rPr>
          <w:rFonts w:hint="eastAsia"/>
          <w:noProof/>
          <w:kern w:val="0"/>
          <w:sz w:val="24"/>
        </w:rPr>
        <w:t>受试物</w:t>
      </w:r>
      <w:r w:rsidRPr="008D47BA">
        <w:rPr>
          <w:rFonts w:hint="eastAsia"/>
          <w:noProof/>
          <w:kern w:val="0"/>
          <w:sz w:val="24"/>
        </w:rPr>
        <w:t>发生化学反应。</w:t>
      </w:r>
    </w:p>
    <w:p w14:paraId="725B9117"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（三）试验分组</w:t>
      </w:r>
    </w:p>
    <w:p w14:paraId="3DDA17FE" w14:textId="505755CB" w:rsidR="00E02136" w:rsidRPr="00595D0E" w:rsidRDefault="00E02136" w:rsidP="00E02136">
      <w:pPr>
        <w:adjustRightInd w:val="0"/>
        <w:snapToGrid w:val="0"/>
        <w:spacing w:line="360" w:lineRule="auto"/>
        <w:ind w:firstLineChars="200" w:firstLine="480"/>
        <w:jc w:val="both"/>
      </w:pPr>
      <w:r w:rsidRPr="00595D0E">
        <w:rPr>
          <w:rFonts w:hint="eastAsia"/>
          <w:sz w:val="24"/>
        </w:rPr>
        <w:t>试验应同时设置</w:t>
      </w:r>
      <w:r w:rsidR="00D03DB6">
        <w:rPr>
          <w:rFonts w:hint="eastAsia"/>
          <w:sz w:val="24"/>
        </w:rPr>
        <w:t>受试物</w:t>
      </w:r>
      <w:r w:rsidRPr="00595D0E">
        <w:rPr>
          <w:rFonts w:hint="eastAsia"/>
          <w:sz w:val="24"/>
        </w:rPr>
        <w:t>组、阳性对照组和阴性对照组（溶剂对照和</w:t>
      </w:r>
      <w:r w:rsidRPr="00595D0E">
        <w:rPr>
          <w:sz w:val="24"/>
        </w:rPr>
        <w:t>/</w:t>
      </w:r>
      <w:r w:rsidRPr="00595D0E">
        <w:rPr>
          <w:rFonts w:hint="eastAsia"/>
          <w:sz w:val="24"/>
        </w:rPr>
        <w:t>或空白对照）。</w:t>
      </w:r>
    </w:p>
    <w:p w14:paraId="72D72FD4" w14:textId="41833F9D" w:rsidR="00E02136" w:rsidRPr="008D47BA" w:rsidRDefault="00E02136" w:rsidP="00E02136">
      <w:pPr>
        <w:adjustRightInd w:val="0"/>
        <w:snapToGrid w:val="0"/>
        <w:spacing w:line="360" w:lineRule="auto"/>
        <w:ind w:firstLineChars="200" w:firstLine="480"/>
        <w:jc w:val="both"/>
        <w:rPr>
          <w:noProof/>
          <w:sz w:val="24"/>
        </w:rPr>
      </w:pPr>
      <w:r w:rsidRPr="008D47BA">
        <w:rPr>
          <w:noProof/>
          <w:sz w:val="24"/>
        </w:rPr>
        <w:t>1.</w:t>
      </w:r>
      <w:r w:rsidR="00D03DB6">
        <w:rPr>
          <w:noProof/>
          <w:sz w:val="24"/>
        </w:rPr>
        <w:t>受试物</w:t>
      </w:r>
      <w:r w:rsidRPr="008D47BA">
        <w:rPr>
          <w:noProof/>
          <w:sz w:val="24"/>
        </w:rPr>
        <w:t>组</w:t>
      </w:r>
    </w:p>
    <w:p w14:paraId="4452DFF0"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至少应设置</w:t>
      </w:r>
      <w:r w:rsidRPr="00595D0E">
        <w:rPr>
          <w:sz w:val="24"/>
        </w:rPr>
        <w:t>3</w:t>
      </w:r>
      <w:r w:rsidRPr="00595D0E">
        <w:rPr>
          <w:rFonts w:hint="eastAsia"/>
          <w:sz w:val="24"/>
        </w:rPr>
        <w:t>个剂量组。</w:t>
      </w:r>
    </w:p>
    <w:p w14:paraId="3A65C0D8" w14:textId="49FC607B" w:rsidR="00E02136" w:rsidRPr="00595D0E" w:rsidRDefault="00E02136" w:rsidP="00E02136">
      <w:pPr>
        <w:adjustRightInd w:val="0"/>
        <w:snapToGrid w:val="0"/>
        <w:spacing w:line="360" w:lineRule="auto"/>
        <w:ind w:firstLineChars="200" w:firstLine="480"/>
        <w:jc w:val="both"/>
      </w:pPr>
      <w:bookmarkStart w:id="11" w:name="_Hlk182424683"/>
      <w:bookmarkStart w:id="12" w:name="_Hlk182424899"/>
      <w:r w:rsidRPr="00595D0E">
        <w:rPr>
          <w:rFonts w:hint="eastAsia"/>
          <w:sz w:val="24"/>
        </w:rPr>
        <w:t>根据相关毒性试验或</w:t>
      </w:r>
      <w:proofErr w:type="gramStart"/>
      <w:r w:rsidRPr="00595D0E">
        <w:rPr>
          <w:rFonts w:hint="eastAsia"/>
          <w:sz w:val="24"/>
        </w:rPr>
        <w:t>预试验</w:t>
      </w:r>
      <w:proofErr w:type="gramEnd"/>
      <w:r w:rsidRPr="00595D0E">
        <w:rPr>
          <w:rFonts w:hint="eastAsia"/>
          <w:sz w:val="24"/>
        </w:rPr>
        <w:t>的结果确定高剂量</w:t>
      </w:r>
      <w:bookmarkEnd w:id="11"/>
      <w:r w:rsidRPr="00595D0E">
        <w:rPr>
          <w:rFonts w:hint="eastAsia"/>
          <w:sz w:val="24"/>
        </w:rPr>
        <w:t>，最高剂量之下的其他剂量一般剂量间距为约</w:t>
      </w:r>
      <w:r w:rsidRPr="00595D0E">
        <w:rPr>
          <w:sz w:val="24"/>
        </w:rPr>
        <w:t>2</w:t>
      </w:r>
      <w:r w:rsidRPr="00595D0E">
        <w:rPr>
          <w:rFonts w:hint="eastAsia"/>
          <w:sz w:val="24"/>
        </w:rPr>
        <w:t>～</w:t>
      </w:r>
      <w:r w:rsidRPr="00595D0E">
        <w:rPr>
          <w:sz w:val="24"/>
        </w:rPr>
        <w:t>3</w:t>
      </w:r>
      <w:r w:rsidRPr="00595D0E">
        <w:rPr>
          <w:rFonts w:hint="eastAsia"/>
          <w:sz w:val="24"/>
        </w:rPr>
        <w:t>倍，对于具有血液或骨髓毒性的</w:t>
      </w:r>
      <w:r w:rsidR="00D03DB6">
        <w:rPr>
          <w:rFonts w:hint="eastAsia"/>
          <w:sz w:val="24"/>
        </w:rPr>
        <w:t>受试物</w:t>
      </w:r>
      <w:r w:rsidRPr="00595D0E">
        <w:rPr>
          <w:rFonts w:hint="eastAsia"/>
          <w:sz w:val="24"/>
        </w:rPr>
        <w:t>，应在具有严重红细胞系毒性（如具有明显的嗜多染红细胞或网织红细胞抑制）的高剂量之下、间距不超过约</w:t>
      </w:r>
      <w:r w:rsidRPr="00595D0E">
        <w:rPr>
          <w:sz w:val="24"/>
        </w:rPr>
        <w:t>2</w:t>
      </w:r>
      <w:r w:rsidRPr="00595D0E">
        <w:rPr>
          <w:rFonts w:hint="eastAsia"/>
          <w:sz w:val="24"/>
        </w:rPr>
        <w:t>倍</w:t>
      </w:r>
      <w:bookmarkEnd w:id="12"/>
      <w:r w:rsidRPr="00595D0E">
        <w:rPr>
          <w:rFonts w:hint="eastAsia"/>
          <w:sz w:val="24"/>
        </w:rPr>
        <w:t>。例如，如果</w:t>
      </w:r>
      <w:r w:rsidR="00D03DB6">
        <w:rPr>
          <w:rFonts w:hint="eastAsia"/>
          <w:sz w:val="24"/>
        </w:rPr>
        <w:t>受试物</w:t>
      </w:r>
      <w:r w:rsidRPr="00595D0E">
        <w:rPr>
          <w:rFonts w:hint="eastAsia"/>
          <w:sz w:val="24"/>
        </w:rPr>
        <w:t>具有毒性，最高剂量组原则上为动物出现严重中毒表现和</w:t>
      </w:r>
      <w:r w:rsidRPr="00595D0E">
        <w:rPr>
          <w:sz w:val="24"/>
        </w:rPr>
        <w:t>/</w:t>
      </w:r>
      <w:r w:rsidRPr="00595D0E">
        <w:rPr>
          <w:rFonts w:hint="eastAsia"/>
          <w:sz w:val="24"/>
        </w:rPr>
        <w:t>或个别动物出现死亡的剂量，一般可取</w:t>
      </w:r>
      <w:r w:rsidRPr="00595D0E">
        <w:rPr>
          <w:sz w:val="24"/>
        </w:rPr>
        <w:t>1/2 LD</w:t>
      </w:r>
      <w:r w:rsidRPr="00595D0E">
        <w:rPr>
          <w:sz w:val="24"/>
          <w:vertAlign w:val="subscript"/>
        </w:rPr>
        <w:t>50</w:t>
      </w:r>
      <w:r w:rsidRPr="00595D0E">
        <w:rPr>
          <w:rFonts w:hint="eastAsia"/>
          <w:sz w:val="24"/>
        </w:rPr>
        <w:t>，低剂量组应不表现出毒性，分别可取</w:t>
      </w:r>
      <w:r w:rsidRPr="00595D0E">
        <w:rPr>
          <w:sz w:val="24"/>
        </w:rPr>
        <w:t>1/4 LD</w:t>
      </w:r>
      <w:r w:rsidRPr="00595D0E">
        <w:rPr>
          <w:sz w:val="24"/>
          <w:vertAlign w:val="subscript"/>
        </w:rPr>
        <w:t>50</w:t>
      </w:r>
      <w:r w:rsidRPr="00595D0E">
        <w:rPr>
          <w:rFonts w:hint="eastAsia"/>
          <w:sz w:val="24"/>
        </w:rPr>
        <w:t>和</w:t>
      </w:r>
      <w:r w:rsidRPr="00595D0E">
        <w:rPr>
          <w:sz w:val="24"/>
        </w:rPr>
        <w:t>1/8 LD</w:t>
      </w:r>
      <w:r w:rsidRPr="00595D0E">
        <w:rPr>
          <w:sz w:val="24"/>
          <w:vertAlign w:val="subscript"/>
        </w:rPr>
        <w:t>50</w:t>
      </w:r>
      <w:r w:rsidRPr="00595D0E">
        <w:rPr>
          <w:rFonts w:hint="eastAsia"/>
          <w:sz w:val="24"/>
        </w:rPr>
        <w:t>作为中、低剂量。对于在低或无毒剂量下具有特异生物学活性的物质（如激素和丝裂源），可以抑制骨髓细胞有丝分裂指数（</w:t>
      </w:r>
      <w:r w:rsidRPr="00595D0E">
        <w:rPr>
          <w:sz w:val="24"/>
        </w:rPr>
        <w:t>50%</w:t>
      </w:r>
      <w:r w:rsidRPr="00595D0E">
        <w:rPr>
          <w:rFonts w:hint="eastAsia"/>
          <w:sz w:val="24"/>
        </w:rPr>
        <w:t>以上）为指标确定最高剂量，按等比级数</w:t>
      </w:r>
      <w:r w:rsidRPr="00595D0E">
        <w:rPr>
          <w:sz w:val="24"/>
        </w:rPr>
        <w:t>2</w:t>
      </w:r>
      <w:r w:rsidRPr="00595D0E">
        <w:rPr>
          <w:rFonts w:hint="eastAsia"/>
          <w:sz w:val="24"/>
        </w:rPr>
        <w:t>向下设置中、低剂量组。急性毒性试验给予</w:t>
      </w:r>
      <w:r w:rsidR="00D03DB6">
        <w:rPr>
          <w:rFonts w:hint="eastAsia"/>
          <w:sz w:val="24"/>
        </w:rPr>
        <w:t>受试</w:t>
      </w:r>
      <w:proofErr w:type="gramStart"/>
      <w:r w:rsidR="00D03DB6">
        <w:rPr>
          <w:rFonts w:hint="eastAsia"/>
          <w:sz w:val="24"/>
        </w:rPr>
        <w:t>物</w:t>
      </w:r>
      <w:r w:rsidRPr="00595D0E">
        <w:rPr>
          <w:rFonts w:hint="eastAsia"/>
          <w:sz w:val="24"/>
        </w:rPr>
        <w:t>最大</w:t>
      </w:r>
      <w:proofErr w:type="gramEnd"/>
      <w:r w:rsidRPr="00595D0E">
        <w:rPr>
          <w:rFonts w:hint="eastAsia"/>
          <w:sz w:val="24"/>
        </w:rPr>
        <w:t>剂量（最大使用浓度和最大灌胃容量）动物无死亡而求不出</w:t>
      </w:r>
      <w:r w:rsidRPr="00595D0E">
        <w:rPr>
          <w:sz w:val="24"/>
        </w:rPr>
        <w:t>LD</w:t>
      </w:r>
      <w:r w:rsidRPr="00595D0E">
        <w:rPr>
          <w:sz w:val="24"/>
          <w:vertAlign w:val="subscript"/>
        </w:rPr>
        <w:t>50</w:t>
      </w:r>
      <w:r w:rsidRPr="00595D0E">
        <w:rPr>
          <w:rFonts w:hint="eastAsia"/>
          <w:sz w:val="24"/>
        </w:rPr>
        <w:t>，单次给药推荐的最高剂量为</w:t>
      </w:r>
      <w:r w:rsidRPr="00595D0E">
        <w:rPr>
          <w:sz w:val="24"/>
        </w:rPr>
        <w:t>2000mg/kg/</w:t>
      </w:r>
      <w:r w:rsidRPr="00595D0E">
        <w:rPr>
          <w:rFonts w:hint="eastAsia"/>
          <w:sz w:val="24"/>
        </w:rPr>
        <w:t>天。</w:t>
      </w:r>
    </w:p>
    <w:p w14:paraId="6CA40352"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为更充分地研究剂量</w:t>
      </w:r>
      <w:r w:rsidRPr="00595D0E">
        <w:rPr>
          <w:sz w:val="24"/>
        </w:rPr>
        <w:t>-</w:t>
      </w:r>
      <w:r w:rsidRPr="00595D0E">
        <w:rPr>
          <w:rFonts w:hint="eastAsia"/>
          <w:sz w:val="24"/>
        </w:rPr>
        <w:t>反应曲线的形状可能需要增加剂量组。</w:t>
      </w:r>
    </w:p>
    <w:p w14:paraId="6B204D5C" w14:textId="77777777" w:rsidR="00E02136" w:rsidRPr="008D47BA" w:rsidRDefault="00E02136" w:rsidP="00E02136">
      <w:pPr>
        <w:adjustRightInd w:val="0"/>
        <w:snapToGrid w:val="0"/>
        <w:spacing w:line="360" w:lineRule="auto"/>
        <w:ind w:firstLineChars="200" w:firstLine="480"/>
        <w:jc w:val="both"/>
        <w:rPr>
          <w:noProof/>
          <w:sz w:val="24"/>
        </w:rPr>
      </w:pPr>
      <w:r w:rsidRPr="008D47BA">
        <w:rPr>
          <w:noProof/>
          <w:sz w:val="24"/>
        </w:rPr>
        <w:t>2.</w:t>
      </w:r>
      <w:r w:rsidRPr="008D47BA">
        <w:rPr>
          <w:noProof/>
          <w:sz w:val="24"/>
        </w:rPr>
        <w:t>阳性对照组</w:t>
      </w:r>
    </w:p>
    <w:p w14:paraId="5144A3E7" w14:textId="720E3E06" w:rsidR="00E02136" w:rsidRPr="00595D0E" w:rsidRDefault="00E02136" w:rsidP="00E02136">
      <w:pPr>
        <w:adjustRightInd w:val="0"/>
        <w:snapToGrid w:val="0"/>
        <w:spacing w:line="360" w:lineRule="auto"/>
        <w:ind w:firstLineChars="200" w:firstLine="480"/>
        <w:jc w:val="both"/>
      </w:pPr>
      <w:r w:rsidRPr="00595D0E">
        <w:rPr>
          <w:rFonts w:hint="eastAsia"/>
          <w:sz w:val="24"/>
        </w:rPr>
        <w:lastRenderedPageBreak/>
        <w:t>采用已知的阳性诱变剂替代</w:t>
      </w:r>
      <w:r w:rsidR="00D03DB6">
        <w:rPr>
          <w:rFonts w:hint="eastAsia"/>
          <w:sz w:val="24"/>
        </w:rPr>
        <w:t>受试物</w:t>
      </w:r>
      <w:r w:rsidRPr="00595D0E">
        <w:rPr>
          <w:rFonts w:hint="eastAsia"/>
          <w:sz w:val="24"/>
        </w:rPr>
        <w:t>。推荐的阳性诱变剂包括甲磺酸乙酯、甲磺酸甲酯、乙基亚硝基</w:t>
      </w:r>
      <w:proofErr w:type="gramStart"/>
      <w:r w:rsidRPr="00595D0E">
        <w:rPr>
          <w:rFonts w:hint="eastAsia"/>
          <w:sz w:val="24"/>
        </w:rPr>
        <w:t>脲</w:t>
      </w:r>
      <w:proofErr w:type="gramEnd"/>
      <w:r w:rsidRPr="00595D0E">
        <w:rPr>
          <w:rFonts w:hint="eastAsia"/>
          <w:sz w:val="24"/>
        </w:rPr>
        <w:t>、丝裂霉素</w:t>
      </w:r>
      <w:r w:rsidRPr="00595D0E">
        <w:rPr>
          <w:sz w:val="24"/>
        </w:rPr>
        <w:t>C</w:t>
      </w:r>
      <w:r w:rsidRPr="00595D0E">
        <w:rPr>
          <w:rFonts w:hint="eastAsia"/>
          <w:sz w:val="24"/>
        </w:rPr>
        <w:t>、环磷酰胺（</w:t>
      </w:r>
      <w:proofErr w:type="gramStart"/>
      <w:r w:rsidRPr="00595D0E">
        <w:rPr>
          <w:rFonts w:hint="eastAsia"/>
          <w:sz w:val="24"/>
        </w:rPr>
        <w:t>一</w:t>
      </w:r>
      <w:proofErr w:type="gramEnd"/>
      <w:r w:rsidRPr="00595D0E">
        <w:rPr>
          <w:rFonts w:hint="eastAsia"/>
          <w:sz w:val="24"/>
        </w:rPr>
        <w:t>水合物）、三亚</w:t>
      </w:r>
      <w:proofErr w:type="gramStart"/>
      <w:r w:rsidRPr="00595D0E">
        <w:rPr>
          <w:rFonts w:hint="eastAsia"/>
          <w:sz w:val="24"/>
        </w:rPr>
        <w:t>乙基蜜胺</w:t>
      </w:r>
      <w:proofErr w:type="gramEnd"/>
      <w:r w:rsidRPr="00595D0E">
        <w:rPr>
          <w:rFonts w:hint="eastAsia"/>
          <w:sz w:val="24"/>
        </w:rPr>
        <w:t>。阳性对照物的剂量水平应预期在体内产生高于本底值的染色体结构畸变，且增高程度能达到可检出的水平，又不使阅片者立即发现其为阳性对照组样本。</w:t>
      </w:r>
    </w:p>
    <w:p w14:paraId="5150BAE5" w14:textId="77777777" w:rsidR="00E02136" w:rsidRPr="0001104D" w:rsidRDefault="00E02136" w:rsidP="00E02136">
      <w:pPr>
        <w:adjustRightInd w:val="0"/>
        <w:snapToGrid w:val="0"/>
        <w:spacing w:line="360" w:lineRule="auto"/>
        <w:ind w:firstLineChars="200" w:firstLine="480"/>
        <w:jc w:val="both"/>
        <w:rPr>
          <w:noProof/>
          <w:sz w:val="24"/>
        </w:rPr>
      </w:pPr>
      <w:r w:rsidRPr="008D47BA">
        <w:rPr>
          <w:noProof/>
          <w:sz w:val="24"/>
        </w:rPr>
        <w:t>3.</w:t>
      </w:r>
      <w:r w:rsidRPr="0001104D">
        <w:rPr>
          <w:noProof/>
          <w:sz w:val="24"/>
        </w:rPr>
        <w:t>溶剂对照组</w:t>
      </w:r>
    </w:p>
    <w:p w14:paraId="211EC533" w14:textId="51C802C7" w:rsidR="00E02136" w:rsidRPr="00595D0E" w:rsidRDefault="00E02136" w:rsidP="00E02136">
      <w:pPr>
        <w:adjustRightInd w:val="0"/>
        <w:snapToGrid w:val="0"/>
        <w:spacing w:line="360" w:lineRule="auto"/>
        <w:ind w:firstLineChars="200" w:firstLine="480"/>
        <w:jc w:val="both"/>
      </w:pPr>
      <w:r w:rsidRPr="00595D0E">
        <w:rPr>
          <w:rFonts w:hint="eastAsia"/>
          <w:sz w:val="24"/>
        </w:rPr>
        <w:t>仅含和</w:t>
      </w:r>
      <w:r w:rsidR="00D03DB6">
        <w:rPr>
          <w:rFonts w:hint="eastAsia"/>
          <w:sz w:val="24"/>
        </w:rPr>
        <w:t>受试</w:t>
      </w:r>
      <w:proofErr w:type="gramStart"/>
      <w:r w:rsidR="00D03DB6">
        <w:rPr>
          <w:rFonts w:hint="eastAsia"/>
          <w:sz w:val="24"/>
        </w:rPr>
        <w:t>物</w:t>
      </w:r>
      <w:r w:rsidRPr="00595D0E">
        <w:rPr>
          <w:rFonts w:hint="eastAsia"/>
          <w:sz w:val="24"/>
        </w:rPr>
        <w:t>组相同</w:t>
      </w:r>
      <w:proofErr w:type="gramEnd"/>
      <w:r w:rsidRPr="00595D0E">
        <w:rPr>
          <w:rFonts w:hint="eastAsia"/>
          <w:sz w:val="24"/>
        </w:rPr>
        <w:t>的溶剂，不含</w:t>
      </w:r>
      <w:r w:rsidR="00D03DB6">
        <w:rPr>
          <w:rFonts w:hint="eastAsia"/>
          <w:sz w:val="24"/>
        </w:rPr>
        <w:t>受试物</w:t>
      </w:r>
      <w:r w:rsidRPr="00595D0E">
        <w:rPr>
          <w:rFonts w:hint="eastAsia"/>
          <w:sz w:val="24"/>
        </w:rPr>
        <w:t>。</w:t>
      </w:r>
    </w:p>
    <w:p w14:paraId="347FFF7C" w14:textId="77777777" w:rsidR="00E02136" w:rsidRPr="0001104D" w:rsidRDefault="00E02136" w:rsidP="00E02136">
      <w:pPr>
        <w:adjustRightInd w:val="0"/>
        <w:snapToGrid w:val="0"/>
        <w:spacing w:line="360" w:lineRule="auto"/>
        <w:ind w:firstLineChars="200" w:firstLine="480"/>
        <w:jc w:val="both"/>
        <w:rPr>
          <w:noProof/>
          <w:sz w:val="24"/>
        </w:rPr>
      </w:pPr>
      <w:r w:rsidRPr="0001104D">
        <w:rPr>
          <w:noProof/>
          <w:sz w:val="24"/>
        </w:rPr>
        <w:t>4.</w:t>
      </w:r>
      <w:r w:rsidRPr="0001104D">
        <w:rPr>
          <w:noProof/>
          <w:sz w:val="24"/>
        </w:rPr>
        <w:t>空白对照组</w:t>
      </w:r>
    </w:p>
    <w:p w14:paraId="2D78F63D"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如果现有资料不能证实溶剂不具有致突变性，还应设空白对照。</w:t>
      </w:r>
    </w:p>
    <w:p w14:paraId="148B52DC"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（四）给药方案</w:t>
      </w:r>
    </w:p>
    <w:p w14:paraId="3FF68D73"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一般采用灌胃（或注射）给药，给药</w:t>
      </w:r>
      <w:r w:rsidRPr="00595D0E">
        <w:rPr>
          <w:sz w:val="24"/>
        </w:rPr>
        <w:t>3</w:t>
      </w:r>
      <w:r w:rsidRPr="00595D0E">
        <w:rPr>
          <w:rFonts w:hint="eastAsia"/>
          <w:sz w:val="24"/>
        </w:rPr>
        <w:t>次，每次间隔</w:t>
      </w:r>
      <w:r w:rsidRPr="00595D0E">
        <w:rPr>
          <w:sz w:val="24"/>
        </w:rPr>
        <w:t>24h</w:t>
      </w:r>
      <w:r w:rsidRPr="00595D0E">
        <w:rPr>
          <w:rFonts w:hint="eastAsia"/>
          <w:sz w:val="24"/>
        </w:rPr>
        <w:t>。</w:t>
      </w:r>
    </w:p>
    <w:p w14:paraId="709D5236"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（五）采样</w:t>
      </w:r>
    </w:p>
    <w:p w14:paraId="5E67CEDC" w14:textId="77777777" w:rsidR="00E02136" w:rsidRPr="0001104D" w:rsidRDefault="00E02136" w:rsidP="00E02136">
      <w:pPr>
        <w:adjustRightInd w:val="0"/>
        <w:snapToGrid w:val="0"/>
        <w:spacing w:line="360" w:lineRule="auto"/>
        <w:ind w:firstLineChars="200" w:firstLine="480"/>
        <w:jc w:val="both"/>
        <w:rPr>
          <w:sz w:val="24"/>
        </w:rPr>
      </w:pPr>
      <w:r w:rsidRPr="008D47BA">
        <w:rPr>
          <w:rFonts w:hint="eastAsia"/>
          <w:sz w:val="24"/>
        </w:rPr>
        <w:t>通常在采样前经腹腔注射适量的</w:t>
      </w:r>
      <w:bookmarkStart w:id="13" w:name="_Hlk182425875"/>
      <w:r w:rsidRPr="008D47BA">
        <w:rPr>
          <w:rFonts w:hint="eastAsia"/>
          <w:sz w:val="24"/>
        </w:rPr>
        <w:t>中期分裂相阻断剂</w:t>
      </w:r>
      <w:bookmarkEnd w:id="13"/>
      <w:r w:rsidRPr="008D47BA">
        <w:rPr>
          <w:rFonts w:hint="eastAsia"/>
          <w:sz w:val="24"/>
        </w:rPr>
        <w:t>（如秋水仙素或秋水仙碱），通常，</w:t>
      </w:r>
      <w:bookmarkStart w:id="14" w:name="_Hlk182426093"/>
      <w:r w:rsidRPr="008D47BA">
        <w:rPr>
          <w:rFonts w:hint="eastAsia"/>
          <w:sz w:val="24"/>
        </w:rPr>
        <w:t>小鼠在采样前</w:t>
      </w:r>
      <w:r w:rsidRPr="0001104D">
        <w:rPr>
          <w:sz w:val="24"/>
        </w:rPr>
        <w:t>3</w:t>
      </w:r>
      <w:r>
        <w:rPr>
          <w:rFonts w:hint="eastAsia"/>
          <w:sz w:val="24"/>
        </w:rPr>
        <w:t>h</w:t>
      </w:r>
      <w:r w:rsidRPr="008D47BA">
        <w:rPr>
          <w:rFonts w:hint="eastAsia"/>
          <w:sz w:val="24"/>
        </w:rPr>
        <w:t>～</w:t>
      </w:r>
      <w:r w:rsidRPr="0001104D">
        <w:rPr>
          <w:sz w:val="24"/>
        </w:rPr>
        <w:t>5h</w:t>
      </w:r>
      <w:bookmarkEnd w:id="14"/>
      <w:r w:rsidRPr="008D47BA">
        <w:rPr>
          <w:rFonts w:hint="eastAsia"/>
          <w:sz w:val="24"/>
        </w:rPr>
        <w:t>，大鼠在采样前</w:t>
      </w:r>
      <w:r w:rsidRPr="0001104D">
        <w:rPr>
          <w:sz w:val="24"/>
        </w:rPr>
        <w:t>2</w:t>
      </w:r>
      <w:r>
        <w:rPr>
          <w:rFonts w:hint="eastAsia"/>
          <w:sz w:val="24"/>
        </w:rPr>
        <w:t>h</w:t>
      </w:r>
      <w:r w:rsidRPr="008D47BA">
        <w:rPr>
          <w:rFonts w:hint="eastAsia"/>
          <w:sz w:val="24"/>
        </w:rPr>
        <w:t>～</w:t>
      </w:r>
      <w:r w:rsidRPr="0001104D">
        <w:rPr>
          <w:sz w:val="24"/>
        </w:rPr>
        <w:t>5h</w:t>
      </w:r>
      <w:r w:rsidRPr="008D47BA">
        <w:rPr>
          <w:rFonts w:hint="eastAsia"/>
          <w:sz w:val="24"/>
        </w:rPr>
        <w:t>。</w:t>
      </w:r>
    </w:p>
    <w:p w14:paraId="4F77C7D4" w14:textId="77777777" w:rsidR="00E02136" w:rsidRPr="0001104D" w:rsidRDefault="00E02136" w:rsidP="00E02136">
      <w:pPr>
        <w:adjustRightInd w:val="0"/>
        <w:snapToGrid w:val="0"/>
        <w:spacing w:line="360" w:lineRule="auto"/>
        <w:ind w:firstLineChars="200" w:firstLine="480"/>
        <w:jc w:val="both"/>
        <w:rPr>
          <w:noProof/>
          <w:kern w:val="0"/>
          <w:sz w:val="24"/>
        </w:rPr>
      </w:pPr>
      <w:bookmarkStart w:id="15" w:name="_Hlk182425841"/>
      <w:r w:rsidRPr="008D47BA">
        <w:rPr>
          <w:rFonts w:hint="eastAsia"/>
          <w:noProof/>
          <w:kern w:val="0"/>
          <w:sz w:val="24"/>
        </w:rPr>
        <w:t>在</w:t>
      </w:r>
      <w:r w:rsidRPr="008D47BA">
        <w:rPr>
          <w:rFonts w:hint="eastAsia"/>
          <w:sz w:val="24"/>
        </w:rPr>
        <w:t>末次给药后约</w:t>
      </w:r>
      <w:r w:rsidRPr="0001104D">
        <w:rPr>
          <w:noProof/>
          <w:kern w:val="0"/>
          <w:sz w:val="24"/>
        </w:rPr>
        <w:t>1.5</w:t>
      </w:r>
      <w:r w:rsidRPr="008D47BA">
        <w:rPr>
          <w:rFonts w:hint="eastAsia"/>
          <w:noProof/>
          <w:kern w:val="0"/>
          <w:sz w:val="24"/>
        </w:rPr>
        <w:t>个正常细胞周期时（通常为给药后</w:t>
      </w:r>
      <w:r w:rsidRPr="0001104D">
        <w:rPr>
          <w:sz w:val="24"/>
        </w:rPr>
        <w:t>12</w:t>
      </w:r>
      <w:r>
        <w:rPr>
          <w:rFonts w:hint="eastAsia"/>
          <w:sz w:val="24"/>
        </w:rPr>
        <w:t>h</w:t>
      </w:r>
      <w:r w:rsidRPr="008D47BA">
        <w:rPr>
          <w:rFonts w:hint="eastAsia"/>
          <w:sz w:val="24"/>
        </w:rPr>
        <w:t>～</w:t>
      </w:r>
      <w:r w:rsidRPr="0001104D">
        <w:rPr>
          <w:sz w:val="24"/>
        </w:rPr>
        <w:t>18h</w:t>
      </w:r>
      <w:r w:rsidRPr="008D47BA">
        <w:rPr>
          <w:rFonts w:hint="eastAsia"/>
          <w:noProof/>
          <w:kern w:val="0"/>
          <w:sz w:val="24"/>
        </w:rPr>
        <w:t>）采样</w:t>
      </w:r>
      <w:bookmarkEnd w:id="15"/>
      <w:r w:rsidRPr="008D47BA">
        <w:rPr>
          <w:rFonts w:hint="eastAsia"/>
          <w:noProof/>
          <w:kern w:val="0"/>
          <w:sz w:val="24"/>
        </w:rPr>
        <w:t>。</w:t>
      </w:r>
    </w:p>
    <w:p w14:paraId="4139FE29"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（六）观察指标</w:t>
      </w:r>
    </w:p>
    <w:p w14:paraId="68D8452E" w14:textId="77777777" w:rsidR="00E02136" w:rsidRPr="0001104D" w:rsidRDefault="00E02136" w:rsidP="00E02136">
      <w:pPr>
        <w:adjustRightInd w:val="0"/>
        <w:snapToGrid w:val="0"/>
        <w:spacing w:line="360" w:lineRule="auto"/>
        <w:ind w:firstLineChars="200" w:firstLine="480"/>
        <w:jc w:val="both"/>
        <w:rPr>
          <w:noProof/>
          <w:kern w:val="0"/>
          <w:sz w:val="24"/>
        </w:rPr>
      </w:pPr>
      <w:r w:rsidRPr="008D47BA">
        <w:rPr>
          <w:sz w:val="24"/>
        </w:rPr>
        <w:t>1.</w:t>
      </w:r>
      <w:r w:rsidRPr="008D47BA">
        <w:rPr>
          <w:rFonts w:hint="eastAsia"/>
          <w:noProof/>
          <w:kern w:val="0"/>
          <w:sz w:val="24"/>
        </w:rPr>
        <w:t>临床观察</w:t>
      </w:r>
    </w:p>
    <w:p w14:paraId="4BE2F131" w14:textId="77777777" w:rsidR="00E02136" w:rsidRPr="0001104D" w:rsidRDefault="00E02136" w:rsidP="00E02136">
      <w:pPr>
        <w:adjustRightInd w:val="0"/>
        <w:snapToGrid w:val="0"/>
        <w:spacing w:line="360" w:lineRule="auto"/>
        <w:ind w:firstLineChars="200" w:firstLine="480"/>
        <w:jc w:val="both"/>
        <w:rPr>
          <w:noProof/>
          <w:kern w:val="0"/>
          <w:sz w:val="24"/>
        </w:rPr>
      </w:pPr>
      <w:r w:rsidRPr="008D47BA">
        <w:rPr>
          <w:rFonts w:hint="eastAsia"/>
          <w:noProof/>
          <w:kern w:val="0"/>
          <w:sz w:val="24"/>
        </w:rPr>
        <w:t>每天至少进行一次一般临床观察并记录临床表现，最好在每天的同一时间进行。在给药期间，每天观察实验动物的发病和死亡情况。</w:t>
      </w:r>
    </w:p>
    <w:p w14:paraId="5C4BCBD3" w14:textId="77777777" w:rsidR="00E02136" w:rsidRPr="0001104D" w:rsidRDefault="00E02136" w:rsidP="00E02136">
      <w:pPr>
        <w:adjustRightInd w:val="0"/>
        <w:snapToGrid w:val="0"/>
        <w:spacing w:line="360" w:lineRule="auto"/>
        <w:ind w:firstLineChars="200" w:firstLine="480"/>
        <w:jc w:val="both"/>
        <w:rPr>
          <w:noProof/>
          <w:kern w:val="0"/>
          <w:sz w:val="24"/>
        </w:rPr>
      </w:pPr>
      <w:r w:rsidRPr="008D47BA">
        <w:rPr>
          <w:sz w:val="24"/>
        </w:rPr>
        <w:t>2.</w:t>
      </w:r>
      <w:r w:rsidRPr="008D47BA">
        <w:rPr>
          <w:rFonts w:hint="eastAsia"/>
          <w:noProof/>
          <w:kern w:val="0"/>
          <w:sz w:val="24"/>
        </w:rPr>
        <w:t>细胞分析</w:t>
      </w:r>
    </w:p>
    <w:p w14:paraId="62D7547D"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动物处死后迅速取股骨或胫骨，获取骨髓细胞，制片、染色后，阅片分析。</w:t>
      </w:r>
    </w:p>
    <w:p w14:paraId="79D11C65" w14:textId="77777777" w:rsidR="00E02136" w:rsidRPr="00595D0E" w:rsidRDefault="00E02136" w:rsidP="00E02136">
      <w:pPr>
        <w:adjustRightInd w:val="0"/>
        <w:snapToGrid w:val="0"/>
        <w:spacing w:line="360" w:lineRule="auto"/>
        <w:ind w:firstLineChars="200" w:firstLine="480"/>
        <w:jc w:val="both"/>
      </w:pPr>
      <w:bookmarkStart w:id="16" w:name="OLE_LINK7"/>
      <w:bookmarkStart w:id="17" w:name="_Hlk182426592"/>
      <w:r w:rsidRPr="00595D0E">
        <w:rPr>
          <w:rFonts w:hint="eastAsia"/>
          <w:sz w:val="24"/>
        </w:rPr>
        <w:t>每只动物分析</w:t>
      </w:r>
      <w:r w:rsidRPr="00595D0E">
        <w:rPr>
          <w:sz w:val="24"/>
        </w:rPr>
        <w:t>100</w:t>
      </w:r>
      <w:r w:rsidRPr="00595D0E">
        <w:rPr>
          <w:rFonts w:hint="eastAsia"/>
          <w:sz w:val="24"/>
        </w:rPr>
        <w:t>个中期相细胞，每个剂量组不少于</w:t>
      </w:r>
      <w:r w:rsidRPr="00595D0E">
        <w:rPr>
          <w:sz w:val="24"/>
        </w:rPr>
        <w:t>1000</w:t>
      </w:r>
      <w:r w:rsidRPr="00595D0E">
        <w:rPr>
          <w:rFonts w:hint="eastAsia"/>
          <w:sz w:val="24"/>
        </w:rPr>
        <w:t>个中期分裂相细胞，</w:t>
      </w:r>
      <w:bookmarkEnd w:id="16"/>
      <w:r w:rsidRPr="00595D0E">
        <w:rPr>
          <w:rFonts w:hint="eastAsia"/>
          <w:sz w:val="24"/>
        </w:rPr>
        <w:t>以测定染色体结构畸变率，若阴性对照历史数据库的染色体结构畸变率背景值低于</w:t>
      </w:r>
      <w:r w:rsidRPr="00595D0E">
        <w:rPr>
          <w:sz w:val="24"/>
        </w:rPr>
        <w:t>1%</w:t>
      </w:r>
      <w:r w:rsidRPr="00595D0E">
        <w:rPr>
          <w:rFonts w:hint="eastAsia"/>
          <w:sz w:val="24"/>
        </w:rPr>
        <w:t>时，需要计数更多的分裂中期相细胞。</w:t>
      </w:r>
      <w:bookmarkStart w:id="18" w:name="_Hlk182426989"/>
      <w:r w:rsidRPr="00595D0E">
        <w:rPr>
          <w:rFonts w:hint="eastAsia"/>
          <w:sz w:val="24"/>
        </w:rPr>
        <w:t>染色单体型</w:t>
      </w:r>
      <w:r w:rsidRPr="004478C1">
        <w:rPr>
          <w:rFonts w:hint="eastAsia"/>
          <w:sz w:val="24"/>
        </w:rPr>
        <w:t>畸变</w:t>
      </w:r>
      <w:r w:rsidRPr="00595D0E">
        <w:rPr>
          <w:rFonts w:hint="eastAsia"/>
          <w:sz w:val="24"/>
        </w:rPr>
        <w:t>与染色体型畸变应分别记录并记录亚型（断裂、交换）。裂隙应单独记录，但不计入畸变率中。同时应单独记录多倍体和内复制等数目畸变，但不计入畸变率中。</w:t>
      </w:r>
      <w:bookmarkEnd w:id="17"/>
      <w:bookmarkEnd w:id="18"/>
      <w:r w:rsidRPr="00595D0E">
        <w:rPr>
          <w:rFonts w:hint="eastAsia"/>
          <w:sz w:val="24"/>
        </w:rPr>
        <w:t>主要观察项目见“附录（一）”。</w:t>
      </w:r>
    </w:p>
    <w:p w14:paraId="663B387D"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w:t>
      </w:r>
      <w:r w:rsidRPr="00B517A7">
        <w:rPr>
          <w:rFonts w:ascii="黑体" w:eastAsia="黑体" w:hAnsi="黑体"/>
          <w:sz w:val="24"/>
        </w:rPr>
        <w:t>七</w:t>
      </w:r>
      <w:r w:rsidRPr="005740E6">
        <w:rPr>
          <w:rFonts w:ascii="黑体" w:eastAsia="黑体" w:hAnsi="黑体" w:hint="eastAsia"/>
          <w:sz w:val="24"/>
        </w:rPr>
        <w:t>）结果</w:t>
      </w:r>
      <w:r w:rsidRPr="00B517A7">
        <w:rPr>
          <w:rFonts w:ascii="黑体" w:eastAsia="黑体" w:hAnsi="黑体"/>
          <w:sz w:val="24"/>
        </w:rPr>
        <w:t>分析及</w:t>
      </w:r>
      <w:r w:rsidRPr="005740E6">
        <w:rPr>
          <w:rFonts w:ascii="黑体" w:eastAsia="黑体" w:hAnsi="黑体" w:hint="eastAsia"/>
          <w:sz w:val="24"/>
        </w:rPr>
        <w:t>评价</w:t>
      </w:r>
    </w:p>
    <w:p w14:paraId="08F2FF89" w14:textId="77777777" w:rsidR="00E02136" w:rsidRPr="005740E6" w:rsidRDefault="00E02136" w:rsidP="00E02136">
      <w:pPr>
        <w:adjustRightInd w:val="0"/>
        <w:snapToGrid w:val="0"/>
        <w:spacing w:line="360" w:lineRule="auto"/>
        <w:ind w:firstLineChars="200" w:firstLine="480"/>
        <w:jc w:val="both"/>
        <w:rPr>
          <w:noProof/>
          <w:kern w:val="0"/>
          <w:sz w:val="24"/>
        </w:rPr>
      </w:pPr>
      <w:bookmarkStart w:id="19" w:name="_Hlk182427612"/>
      <w:bookmarkStart w:id="20" w:name="_Hlk172573281"/>
      <w:r w:rsidRPr="00595D0E">
        <w:rPr>
          <w:rFonts w:hint="eastAsia"/>
          <w:noProof/>
          <w:kern w:val="0"/>
          <w:sz w:val="24"/>
        </w:rPr>
        <w:t>结果中应描述</w:t>
      </w:r>
      <w:bookmarkStart w:id="21" w:name="_Hlk182427510"/>
      <w:r w:rsidRPr="00595D0E">
        <w:rPr>
          <w:rFonts w:hint="eastAsia"/>
          <w:noProof/>
          <w:kern w:val="0"/>
          <w:sz w:val="24"/>
        </w:rPr>
        <w:t>各剂量组的毒性大小，包括一般症状、死亡情况</w:t>
      </w:r>
      <w:bookmarkEnd w:id="19"/>
      <w:bookmarkEnd w:id="21"/>
      <w:r w:rsidRPr="00595D0E">
        <w:rPr>
          <w:rFonts w:hint="eastAsia"/>
          <w:noProof/>
          <w:kern w:val="0"/>
          <w:sz w:val="24"/>
        </w:rPr>
        <w:t>。主要评价指标</w:t>
      </w:r>
      <w:r w:rsidRPr="005740E6">
        <w:rPr>
          <w:rFonts w:hint="eastAsia"/>
          <w:noProof/>
          <w:kern w:val="0"/>
          <w:sz w:val="24"/>
        </w:rPr>
        <w:t>为</w:t>
      </w:r>
      <w:r w:rsidRPr="00595D0E">
        <w:rPr>
          <w:rFonts w:hint="eastAsia"/>
          <w:noProof/>
          <w:kern w:val="0"/>
          <w:sz w:val="24"/>
        </w:rPr>
        <w:t>染色体结构畸变细胞的百分率（即</w:t>
      </w:r>
      <w:r w:rsidRPr="005740E6">
        <w:rPr>
          <w:rFonts w:hint="eastAsia"/>
          <w:noProof/>
          <w:kern w:val="0"/>
          <w:sz w:val="24"/>
        </w:rPr>
        <w:t>染色体结构畸变率</w:t>
      </w:r>
      <w:r w:rsidRPr="00595D0E">
        <w:rPr>
          <w:rFonts w:hint="eastAsia"/>
          <w:noProof/>
          <w:kern w:val="0"/>
          <w:sz w:val="24"/>
        </w:rPr>
        <w:t>）</w:t>
      </w:r>
      <w:r w:rsidRPr="005740E6">
        <w:rPr>
          <w:rFonts w:hint="eastAsia"/>
          <w:noProof/>
          <w:kern w:val="0"/>
          <w:sz w:val="24"/>
        </w:rPr>
        <w:t>。每组雌、雄动物分别计算</w:t>
      </w:r>
      <w:bookmarkStart w:id="22" w:name="OLE_LINK3"/>
      <w:r w:rsidRPr="005740E6">
        <w:rPr>
          <w:rFonts w:hint="eastAsia"/>
          <w:noProof/>
          <w:kern w:val="0"/>
          <w:sz w:val="24"/>
        </w:rPr>
        <w:t>染色体结构畸变率</w:t>
      </w:r>
      <w:bookmarkEnd w:id="22"/>
      <w:r w:rsidRPr="005740E6">
        <w:rPr>
          <w:rFonts w:hint="eastAsia"/>
          <w:noProof/>
          <w:kern w:val="0"/>
          <w:sz w:val="24"/>
        </w:rPr>
        <w:t>的均值和标准差。雌、雄动物之间无明显的性别差异时</w:t>
      </w:r>
      <w:r w:rsidRPr="005740E6">
        <w:rPr>
          <w:rFonts w:hint="eastAsia"/>
          <w:noProof/>
          <w:kern w:val="0"/>
          <w:sz w:val="24"/>
        </w:rPr>
        <w:lastRenderedPageBreak/>
        <w:t>可合并计算结果，否则应分别进行计算。可用</w:t>
      </w:r>
      <w:r w:rsidRPr="0001104D">
        <w:rPr>
          <w:noProof/>
          <w:kern w:val="0"/>
          <w:sz w:val="24"/>
        </w:rPr>
        <w:t>χ</w:t>
      </w:r>
      <w:r w:rsidRPr="005740E6">
        <w:rPr>
          <w:rFonts w:hint="eastAsia"/>
          <w:noProof/>
          <w:kern w:val="0"/>
          <w:sz w:val="24"/>
          <w:vertAlign w:val="superscript"/>
        </w:rPr>
        <w:t>2</w:t>
      </w:r>
      <w:r w:rsidRPr="005740E6">
        <w:rPr>
          <w:rFonts w:hint="eastAsia"/>
          <w:noProof/>
          <w:kern w:val="0"/>
          <w:sz w:val="24"/>
        </w:rPr>
        <w:t>检验或其他适当的显著性检验方法对所得试验数据进行统计学分析。</w:t>
      </w:r>
    </w:p>
    <w:p w14:paraId="6D41E25D" w14:textId="3D738C32" w:rsidR="00E02136" w:rsidRPr="005740E6" w:rsidRDefault="00E02136" w:rsidP="00437DCA">
      <w:pPr>
        <w:adjustRightInd w:val="0"/>
        <w:snapToGrid w:val="0"/>
        <w:spacing w:line="360" w:lineRule="auto"/>
        <w:ind w:firstLineChars="200" w:firstLine="480"/>
        <w:jc w:val="both"/>
        <w:rPr>
          <w:noProof/>
          <w:kern w:val="0"/>
          <w:sz w:val="24"/>
        </w:rPr>
      </w:pPr>
      <w:r w:rsidRPr="00595D0E">
        <w:rPr>
          <w:rFonts w:hint="eastAsia"/>
          <w:noProof/>
          <w:kern w:val="0"/>
          <w:sz w:val="24"/>
        </w:rPr>
        <w:t>应以表格形式列出每只动物数据，包括一般症状、死亡情况、观察的细胞数、含有结构畸变染色体的细胞数、</w:t>
      </w:r>
      <w:r w:rsidRPr="005740E6">
        <w:rPr>
          <w:rFonts w:hint="eastAsia"/>
          <w:noProof/>
          <w:kern w:val="0"/>
          <w:sz w:val="24"/>
        </w:rPr>
        <w:t>染色体结构畸变率</w:t>
      </w:r>
      <w:r w:rsidRPr="00595D0E">
        <w:rPr>
          <w:rFonts w:hint="eastAsia"/>
          <w:noProof/>
          <w:kern w:val="0"/>
          <w:sz w:val="24"/>
        </w:rPr>
        <w:t>、不同类型染色体畸变数及其频率等。</w:t>
      </w:r>
      <w:r w:rsidRPr="005740E6">
        <w:rPr>
          <w:rFonts w:hint="eastAsia"/>
          <w:noProof/>
          <w:kern w:val="0"/>
          <w:sz w:val="24"/>
        </w:rPr>
        <w:t>多倍体和内复制等数目畸变、裂隙应单独记录，不计入总的畸变率中。多倍体数目的增加提示</w:t>
      </w:r>
      <w:r w:rsidR="00D03DB6">
        <w:rPr>
          <w:rFonts w:hint="eastAsia"/>
          <w:noProof/>
          <w:kern w:val="0"/>
          <w:sz w:val="24"/>
        </w:rPr>
        <w:t>受试物</w:t>
      </w:r>
      <w:r w:rsidRPr="005740E6">
        <w:rPr>
          <w:rFonts w:hint="eastAsia"/>
          <w:noProof/>
          <w:kern w:val="0"/>
          <w:sz w:val="24"/>
        </w:rPr>
        <w:t>可能会抑制有丝分裂或诱导染色体数目畸变。出现染色体内复制的细胞数增多提示</w:t>
      </w:r>
      <w:r w:rsidR="00D03DB6">
        <w:rPr>
          <w:rFonts w:hint="eastAsia"/>
          <w:noProof/>
          <w:kern w:val="0"/>
          <w:sz w:val="24"/>
        </w:rPr>
        <w:t>受试物</w:t>
      </w:r>
      <w:r w:rsidRPr="005740E6">
        <w:rPr>
          <w:rFonts w:hint="eastAsia"/>
          <w:noProof/>
          <w:kern w:val="0"/>
          <w:sz w:val="24"/>
        </w:rPr>
        <w:t>可能会影响细胞周期。</w:t>
      </w:r>
      <w:r w:rsidR="00437DCA">
        <w:rPr>
          <w:rFonts w:hint="eastAsia"/>
          <w:noProof/>
          <w:kern w:val="0"/>
          <w:sz w:val="24"/>
        </w:rPr>
        <w:t>同时，</w:t>
      </w:r>
      <w:r w:rsidR="004343D3">
        <w:rPr>
          <w:rFonts w:hint="eastAsia"/>
          <w:noProof/>
          <w:kern w:val="0"/>
          <w:sz w:val="24"/>
        </w:rPr>
        <w:t>提供</w:t>
      </w:r>
      <w:r w:rsidR="004343D3" w:rsidRPr="004343D3">
        <w:rPr>
          <w:rFonts w:hint="eastAsia"/>
          <w:noProof/>
          <w:kern w:val="0"/>
          <w:sz w:val="24"/>
        </w:rPr>
        <w:t>本实验室历史性的阴性对照和阳性对照资料，包括范围、均值、标准差、</w:t>
      </w:r>
      <w:r w:rsidR="004343D3" w:rsidRPr="004343D3">
        <w:rPr>
          <w:rFonts w:hint="eastAsia"/>
          <w:noProof/>
          <w:kern w:val="0"/>
          <w:sz w:val="24"/>
        </w:rPr>
        <w:t>95%</w:t>
      </w:r>
      <w:r w:rsidR="004343D3" w:rsidRPr="004343D3">
        <w:rPr>
          <w:rFonts w:hint="eastAsia"/>
          <w:noProof/>
          <w:kern w:val="0"/>
          <w:sz w:val="24"/>
        </w:rPr>
        <w:t>置信区间、样品数和时间等。</w:t>
      </w:r>
    </w:p>
    <w:p w14:paraId="7CAC3F67" w14:textId="77777777" w:rsidR="000259FB" w:rsidRPr="000259FB" w:rsidRDefault="000259FB" w:rsidP="000259FB">
      <w:pPr>
        <w:adjustRightInd w:val="0"/>
        <w:snapToGrid w:val="0"/>
        <w:spacing w:line="360" w:lineRule="auto"/>
        <w:ind w:firstLineChars="200" w:firstLine="480"/>
        <w:jc w:val="both"/>
        <w:rPr>
          <w:noProof/>
          <w:kern w:val="0"/>
          <w:sz w:val="24"/>
        </w:rPr>
      </w:pPr>
      <w:bookmarkStart w:id="23" w:name="_Hlk179912011"/>
      <w:bookmarkEnd w:id="20"/>
      <w:r w:rsidRPr="00595D0E">
        <w:rPr>
          <w:rFonts w:hint="eastAsia"/>
          <w:noProof/>
          <w:kern w:val="0"/>
          <w:sz w:val="24"/>
        </w:rPr>
        <w:t>在阴性对照数据可以添加至本实验室的历史对照数据库中，阳性对照在历史阳性对照范围内且较阴性对照</w:t>
      </w:r>
      <w:r w:rsidRPr="00FC79E7">
        <w:rPr>
          <w:rFonts w:hint="eastAsia"/>
          <w:noProof/>
          <w:kern w:val="0"/>
          <w:sz w:val="24"/>
        </w:rPr>
        <w:t>染色体结构畸变率</w:t>
      </w:r>
      <w:r w:rsidRPr="00595D0E">
        <w:rPr>
          <w:rFonts w:hint="eastAsia"/>
          <w:noProof/>
          <w:kern w:val="0"/>
          <w:sz w:val="24"/>
        </w:rPr>
        <w:t>显著</w:t>
      </w:r>
      <w:r>
        <w:rPr>
          <w:rFonts w:hint="eastAsia"/>
          <w:noProof/>
          <w:kern w:val="0"/>
          <w:sz w:val="24"/>
        </w:rPr>
        <w:t>升高</w:t>
      </w:r>
      <w:r w:rsidRPr="00595D0E">
        <w:rPr>
          <w:rFonts w:hint="eastAsia"/>
          <w:noProof/>
          <w:kern w:val="0"/>
          <w:sz w:val="24"/>
        </w:rPr>
        <w:t>前提下，</w:t>
      </w:r>
      <w:r w:rsidRPr="000259FB">
        <w:rPr>
          <w:rFonts w:hint="eastAsia"/>
          <w:noProof/>
          <w:kern w:val="0"/>
          <w:sz w:val="24"/>
        </w:rPr>
        <w:t>若同时满足以下情况可判定为阳性结果，若均不满足则判定为阴性结果：</w:t>
      </w:r>
    </w:p>
    <w:p w14:paraId="77095F0E" w14:textId="468ECC2B" w:rsidR="000259FB" w:rsidRPr="000259FB" w:rsidRDefault="000259FB" w:rsidP="000259FB">
      <w:pPr>
        <w:adjustRightInd w:val="0"/>
        <w:snapToGrid w:val="0"/>
        <w:spacing w:line="360" w:lineRule="auto"/>
        <w:ind w:firstLineChars="200" w:firstLine="480"/>
        <w:jc w:val="both"/>
        <w:rPr>
          <w:noProof/>
          <w:kern w:val="0"/>
          <w:sz w:val="24"/>
        </w:rPr>
      </w:pPr>
      <w:r w:rsidRPr="000259FB">
        <w:rPr>
          <w:rFonts w:hint="eastAsia"/>
          <w:noProof/>
          <w:kern w:val="0"/>
          <w:sz w:val="24"/>
        </w:rPr>
        <w:t>（</w:t>
      </w:r>
      <w:r w:rsidRPr="000259FB">
        <w:rPr>
          <w:noProof/>
          <w:kern w:val="0"/>
          <w:sz w:val="24"/>
        </w:rPr>
        <w:t>1</w:t>
      </w:r>
      <w:r w:rsidRPr="000259FB">
        <w:rPr>
          <w:rFonts w:hint="eastAsia"/>
          <w:noProof/>
          <w:kern w:val="0"/>
          <w:sz w:val="24"/>
        </w:rPr>
        <w:t>）与阴性对照相比，</w:t>
      </w:r>
      <w:r w:rsidR="00523C93">
        <w:rPr>
          <w:rFonts w:hint="eastAsia"/>
          <w:noProof/>
          <w:kern w:val="0"/>
          <w:sz w:val="24"/>
        </w:rPr>
        <w:t>受试物</w:t>
      </w:r>
      <w:r w:rsidRPr="000259FB">
        <w:rPr>
          <w:rFonts w:hint="eastAsia"/>
          <w:noProof/>
          <w:kern w:val="0"/>
          <w:sz w:val="24"/>
        </w:rPr>
        <w:t>至少一个剂量组染色体</w:t>
      </w:r>
      <w:bookmarkStart w:id="24" w:name="OLE_LINK5"/>
      <w:r w:rsidRPr="000259FB">
        <w:rPr>
          <w:rFonts w:hint="eastAsia"/>
          <w:noProof/>
          <w:kern w:val="0"/>
          <w:sz w:val="24"/>
        </w:rPr>
        <w:t>结构畸变率</w:t>
      </w:r>
      <w:bookmarkEnd w:id="24"/>
      <w:r w:rsidRPr="000259FB">
        <w:rPr>
          <w:rFonts w:hint="eastAsia"/>
          <w:noProof/>
          <w:kern w:val="0"/>
          <w:sz w:val="24"/>
        </w:rPr>
        <w:t>显著升高；</w:t>
      </w:r>
    </w:p>
    <w:p w14:paraId="3D909A0A" w14:textId="77777777" w:rsidR="000259FB" w:rsidRPr="000259FB" w:rsidRDefault="000259FB" w:rsidP="000259FB">
      <w:pPr>
        <w:adjustRightInd w:val="0"/>
        <w:snapToGrid w:val="0"/>
        <w:spacing w:line="360" w:lineRule="auto"/>
        <w:ind w:firstLineChars="200" w:firstLine="480"/>
        <w:jc w:val="both"/>
        <w:rPr>
          <w:noProof/>
          <w:kern w:val="0"/>
          <w:sz w:val="24"/>
        </w:rPr>
      </w:pPr>
      <w:r w:rsidRPr="000259FB">
        <w:rPr>
          <w:rFonts w:hint="eastAsia"/>
          <w:noProof/>
          <w:kern w:val="0"/>
          <w:sz w:val="24"/>
        </w:rPr>
        <w:t>（</w:t>
      </w:r>
      <w:r w:rsidRPr="000259FB">
        <w:rPr>
          <w:noProof/>
          <w:kern w:val="0"/>
          <w:sz w:val="24"/>
        </w:rPr>
        <w:t>2</w:t>
      </w:r>
      <w:r w:rsidRPr="000259FB">
        <w:rPr>
          <w:rFonts w:hint="eastAsia"/>
          <w:noProof/>
          <w:kern w:val="0"/>
          <w:sz w:val="24"/>
        </w:rPr>
        <w:t>）</w:t>
      </w:r>
      <w:bookmarkStart w:id="25" w:name="_Hlk172377490"/>
      <w:r w:rsidRPr="000259FB">
        <w:rPr>
          <w:rFonts w:hint="eastAsia"/>
          <w:noProof/>
          <w:kern w:val="0"/>
          <w:sz w:val="24"/>
        </w:rPr>
        <w:t>该增加在至少一个采样点具有剂量依赖性</w:t>
      </w:r>
      <w:bookmarkEnd w:id="25"/>
      <w:r w:rsidRPr="000259FB">
        <w:rPr>
          <w:rFonts w:hint="eastAsia"/>
          <w:noProof/>
          <w:kern w:val="0"/>
          <w:sz w:val="24"/>
        </w:rPr>
        <w:t>；</w:t>
      </w:r>
    </w:p>
    <w:p w14:paraId="6F725882" w14:textId="561F3E7A" w:rsidR="000259FB" w:rsidRPr="005740E6" w:rsidRDefault="000259FB" w:rsidP="000259FB">
      <w:pPr>
        <w:adjustRightInd w:val="0"/>
        <w:snapToGrid w:val="0"/>
        <w:spacing w:line="360" w:lineRule="auto"/>
        <w:ind w:firstLineChars="200" w:firstLine="480"/>
        <w:jc w:val="both"/>
        <w:rPr>
          <w:noProof/>
          <w:kern w:val="0"/>
          <w:sz w:val="24"/>
        </w:rPr>
      </w:pPr>
      <w:r w:rsidRPr="000259FB">
        <w:rPr>
          <w:rFonts w:hint="eastAsia"/>
          <w:noProof/>
          <w:kern w:val="0"/>
          <w:sz w:val="24"/>
        </w:rPr>
        <w:t>（</w:t>
      </w:r>
      <w:r w:rsidRPr="000259FB">
        <w:rPr>
          <w:noProof/>
          <w:kern w:val="0"/>
          <w:sz w:val="24"/>
        </w:rPr>
        <w:t>3</w:t>
      </w:r>
      <w:r w:rsidRPr="000259FB">
        <w:rPr>
          <w:rFonts w:hint="eastAsia"/>
          <w:noProof/>
          <w:kern w:val="0"/>
          <w:sz w:val="24"/>
        </w:rPr>
        <w:t>）</w:t>
      </w:r>
      <w:r w:rsidR="00523C93">
        <w:rPr>
          <w:rFonts w:hint="eastAsia"/>
          <w:noProof/>
          <w:kern w:val="0"/>
          <w:sz w:val="24"/>
        </w:rPr>
        <w:t>受试物</w:t>
      </w:r>
      <w:r w:rsidRPr="000259FB">
        <w:rPr>
          <w:rFonts w:hint="eastAsia"/>
          <w:noProof/>
          <w:kern w:val="0"/>
          <w:sz w:val="24"/>
        </w:rPr>
        <w:t>组染色体结构畸变率在阴性对照历史范围之外。</w:t>
      </w:r>
    </w:p>
    <w:p w14:paraId="01A3A964" w14:textId="5F4D64F3" w:rsidR="00E02136" w:rsidRPr="0001104D" w:rsidRDefault="00E02136" w:rsidP="00E02136">
      <w:pPr>
        <w:adjustRightInd w:val="0"/>
        <w:snapToGrid w:val="0"/>
        <w:spacing w:line="360" w:lineRule="auto"/>
        <w:ind w:firstLineChars="200" w:firstLine="480"/>
        <w:jc w:val="both"/>
        <w:rPr>
          <w:noProof/>
          <w:kern w:val="0"/>
          <w:sz w:val="24"/>
        </w:rPr>
      </w:pPr>
      <w:r w:rsidRPr="008D47BA">
        <w:rPr>
          <w:rFonts w:hint="eastAsia"/>
          <w:noProof/>
          <w:kern w:val="0"/>
          <w:sz w:val="24"/>
        </w:rPr>
        <w:t>明显的阳性或阴性结果通常不需要重复试验。如果结果不是明显的阳性或阴性，需要分析更多的细胞或者改变试验条件进行重复试验。</w:t>
      </w:r>
    </w:p>
    <w:bookmarkEnd w:id="23"/>
    <w:p w14:paraId="7EA60C69" w14:textId="340F26A2" w:rsidR="00E02136" w:rsidRPr="00486DED" w:rsidRDefault="009F4DFF" w:rsidP="00E02136">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四</w:t>
      </w:r>
      <w:r w:rsidR="00E02136" w:rsidRPr="00486DED">
        <w:rPr>
          <w:rFonts w:ascii="黑体" w:eastAsia="黑体" w:hAnsi="黑体" w:hint="eastAsia"/>
          <w:sz w:val="28"/>
          <w:szCs w:val="28"/>
        </w:rPr>
        <w:t>、试验报告</w:t>
      </w:r>
    </w:p>
    <w:p w14:paraId="348AEB8D" w14:textId="49BA21D1" w:rsidR="00D03DB6" w:rsidRPr="00BD329F" w:rsidRDefault="00BD329F" w:rsidP="00D03DB6">
      <w:pPr>
        <w:adjustRightInd w:val="0"/>
        <w:snapToGrid w:val="0"/>
        <w:spacing w:line="360" w:lineRule="auto"/>
        <w:ind w:firstLineChars="200" w:firstLine="480"/>
        <w:jc w:val="both"/>
        <w:rPr>
          <w:rFonts w:eastAsiaTheme="minorEastAsia"/>
          <w:sz w:val="24"/>
        </w:rPr>
      </w:pPr>
      <w:r w:rsidRPr="000500D4">
        <w:rPr>
          <w:sz w:val="24"/>
        </w:rPr>
        <w:t>按照兽药</w:t>
      </w:r>
      <w:r w:rsidRPr="000500D4">
        <w:rPr>
          <w:sz w:val="24"/>
        </w:rPr>
        <w:t>GLP</w:t>
      </w:r>
      <w:r w:rsidRPr="000500D4">
        <w:rPr>
          <w:sz w:val="24"/>
        </w:rPr>
        <w:t>要求撰写试验报告</w:t>
      </w:r>
      <w:r w:rsidR="00D03DB6" w:rsidRPr="00C82163">
        <w:rPr>
          <w:rFonts w:ascii="宋体" w:hAnsi="宋体"/>
          <w:sz w:val="24"/>
        </w:rPr>
        <w:t>。</w:t>
      </w:r>
    </w:p>
    <w:p w14:paraId="7C6CFAFC" w14:textId="4449E267" w:rsidR="00E02136" w:rsidRPr="005740E6" w:rsidRDefault="009F4DFF" w:rsidP="00ED5A25">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五</w:t>
      </w:r>
      <w:r w:rsidR="00D03DB6" w:rsidRPr="00ED5A25">
        <w:rPr>
          <w:rFonts w:ascii="黑体" w:eastAsia="黑体" w:hAnsi="黑体"/>
          <w:sz w:val="28"/>
          <w:szCs w:val="28"/>
        </w:rPr>
        <w:t>、</w:t>
      </w:r>
      <w:r w:rsidR="00E02136" w:rsidRPr="005740E6">
        <w:rPr>
          <w:rFonts w:ascii="黑体" w:eastAsia="黑体" w:hAnsi="黑体" w:hint="eastAsia"/>
          <w:sz w:val="28"/>
          <w:szCs w:val="28"/>
        </w:rPr>
        <w:t>附录</w:t>
      </w:r>
    </w:p>
    <w:p w14:paraId="7BE59E70"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（一）染色体结构异常和数目异常种类及特征描述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2334"/>
        <w:gridCol w:w="1168"/>
        <w:gridCol w:w="4053"/>
      </w:tblGrid>
      <w:tr w:rsidR="00E02136" w:rsidRPr="00B517A7" w14:paraId="78C4C9A1" w14:textId="77777777" w:rsidTr="001204DD">
        <w:trPr>
          <w:trHeight w:val="200"/>
          <w:jc w:val="center"/>
        </w:trPr>
        <w:tc>
          <w:tcPr>
            <w:tcW w:w="1853" w:type="pct"/>
            <w:gridSpan w:val="2"/>
            <w:vAlign w:val="center"/>
          </w:tcPr>
          <w:p w14:paraId="32FC297F"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染色体数目异常</w:t>
            </w:r>
          </w:p>
        </w:tc>
        <w:tc>
          <w:tcPr>
            <w:tcW w:w="3147" w:type="pct"/>
            <w:gridSpan w:val="2"/>
            <w:vAlign w:val="center"/>
          </w:tcPr>
          <w:p w14:paraId="0ED0BBE4"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染色体结构异常</w:t>
            </w:r>
          </w:p>
        </w:tc>
      </w:tr>
      <w:tr w:rsidR="00E02136" w:rsidRPr="00B517A7" w14:paraId="3310D001" w14:textId="77777777" w:rsidTr="001204DD">
        <w:trPr>
          <w:trHeight w:val="155"/>
          <w:jc w:val="center"/>
        </w:trPr>
        <w:tc>
          <w:tcPr>
            <w:tcW w:w="446" w:type="pct"/>
            <w:vAlign w:val="center"/>
          </w:tcPr>
          <w:p w14:paraId="30782159"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种类</w:t>
            </w:r>
          </w:p>
        </w:tc>
        <w:tc>
          <w:tcPr>
            <w:tcW w:w="1407" w:type="pct"/>
            <w:vAlign w:val="center"/>
          </w:tcPr>
          <w:p w14:paraId="0BA4108D"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特征描述</w:t>
            </w:r>
          </w:p>
        </w:tc>
        <w:tc>
          <w:tcPr>
            <w:tcW w:w="704" w:type="pct"/>
            <w:vAlign w:val="center"/>
          </w:tcPr>
          <w:p w14:paraId="301BB40F"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种类</w:t>
            </w:r>
          </w:p>
        </w:tc>
        <w:tc>
          <w:tcPr>
            <w:tcW w:w="2443" w:type="pct"/>
            <w:vAlign w:val="center"/>
          </w:tcPr>
          <w:p w14:paraId="31D77E30"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特征描述</w:t>
            </w:r>
          </w:p>
        </w:tc>
      </w:tr>
      <w:tr w:rsidR="00E02136" w:rsidRPr="00B517A7" w14:paraId="74156653" w14:textId="77777777" w:rsidTr="001204DD">
        <w:trPr>
          <w:trHeight w:val="285"/>
          <w:jc w:val="center"/>
        </w:trPr>
        <w:tc>
          <w:tcPr>
            <w:tcW w:w="446" w:type="pct"/>
            <w:vAlign w:val="center"/>
          </w:tcPr>
          <w:p w14:paraId="270884AA"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多倍体</w:t>
            </w:r>
          </w:p>
        </w:tc>
        <w:tc>
          <w:tcPr>
            <w:tcW w:w="1407" w:type="pct"/>
            <w:vAlign w:val="center"/>
          </w:tcPr>
          <w:p w14:paraId="0CD6407B" w14:textId="77777777" w:rsidR="00E02136" w:rsidRPr="00B517A7" w:rsidRDefault="00E02136" w:rsidP="001204DD">
            <w:pPr>
              <w:adjustRightInd w:val="0"/>
              <w:snapToGrid w:val="0"/>
              <w:spacing w:line="360" w:lineRule="auto"/>
              <w:jc w:val="center"/>
              <w:rPr>
                <w:szCs w:val="21"/>
              </w:rPr>
            </w:pPr>
            <w:r w:rsidRPr="00B517A7">
              <w:rPr>
                <w:rFonts w:hAnsi="宋体"/>
                <w:szCs w:val="21"/>
              </w:rPr>
              <w:t>染色体超过二倍体的整倍性改变，如三倍体和四倍体</w:t>
            </w:r>
          </w:p>
        </w:tc>
        <w:tc>
          <w:tcPr>
            <w:tcW w:w="704" w:type="pct"/>
            <w:vAlign w:val="center"/>
          </w:tcPr>
          <w:p w14:paraId="1274768B"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断裂</w:t>
            </w:r>
          </w:p>
        </w:tc>
        <w:tc>
          <w:tcPr>
            <w:tcW w:w="2443" w:type="pct"/>
            <w:vAlign w:val="center"/>
          </w:tcPr>
          <w:p w14:paraId="18F46D64"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染色体或染色单体上存在的狭窄非染色区域，其宽度大于染色单体的宽度</w:t>
            </w:r>
          </w:p>
        </w:tc>
      </w:tr>
      <w:tr w:rsidR="00E02136" w:rsidRPr="00B517A7" w14:paraId="1C3506E5" w14:textId="77777777" w:rsidTr="001204DD">
        <w:trPr>
          <w:trHeight w:val="285"/>
          <w:jc w:val="center"/>
        </w:trPr>
        <w:tc>
          <w:tcPr>
            <w:tcW w:w="446" w:type="pct"/>
            <w:vAlign w:val="center"/>
          </w:tcPr>
          <w:p w14:paraId="7403658D"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非整倍体</w:t>
            </w:r>
          </w:p>
        </w:tc>
        <w:tc>
          <w:tcPr>
            <w:tcW w:w="1407" w:type="pct"/>
            <w:vAlign w:val="center"/>
          </w:tcPr>
          <w:p w14:paraId="415BC58A" w14:textId="77777777" w:rsidR="00E02136" w:rsidRPr="00B517A7" w:rsidRDefault="00E02136" w:rsidP="001204DD">
            <w:pPr>
              <w:adjustRightInd w:val="0"/>
              <w:snapToGrid w:val="0"/>
              <w:spacing w:line="360" w:lineRule="auto"/>
              <w:jc w:val="center"/>
              <w:rPr>
                <w:szCs w:val="21"/>
              </w:rPr>
            </w:pPr>
            <w:r w:rsidRPr="00B517A7">
              <w:rPr>
                <w:rFonts w:hAnsi="宋体"/>
                <w:szCs w:val="21"/>
              </w:rPr>
              <w:t>染色体非整倍性改变，丢失或增加一条或多条染色体</w:t>
            </w:r>
          </w:p>
        </w:tc>
        <w:tc>
          <w:tcPr>
            <w:tcW w:w="704" w:type="pct"/>
            <w:vAlign w:val="center"/>
          </w:tcPr>
          <w:p w14:paraId="78B60796"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裂隙</w:t>
            </w:r>
          </w:p>
        </w:tc>
        <w:tc>
          <w:tcPr>
            <w:tcW w:w="2443" w:type="pct"/>
            <w:vAlign w:val="center"/>
          </w:tcPr>
          <w:p w14:paraId="7A4DF821"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染色体或染色单体上存在的狭窄非染色区域，其宽度小于染色单体的宽度</w:t>
            </w:r>
          </w:p>
        </w:tc>
      </w:tr>
      <w:tr w:rsidR="00E02136" w:rsidRPr="00B517A7" w14:paraId="614DB7DA" w14:textId="77777777" w:rsidTr="001204DD">
        <w:trPr>
          <w:trHeight w:val="275"/>
          <w:jc w:val="center"/>
        </w:trPr>
        <w:tc>
          <w:tcPr>
            <w:tcW w:w="446" w:type="pct"/>
            <w:vAlign w:val="center"/>
          </w:tcPr>
          <w:p w14:paraId="3956513D"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lastRenderedPageBreak/>
              <w:t>内复制</w:t>
            </w:r>
          </w:p>
        </w:tc>
        <w:tc>
          <w:tcPr>
            <w:tcW w:w="1407" w:type="pct"/>
            <w:vAlign w:val="center"/>
          </w:tcPr>
          <w:p w14:paraId="3F776707" w14:textId="77777777" w:rsidR="00E02136" w:rsidRPr="00B517A7" w:rsidRDefault="00E02136" w:rsidP="001204DD">
            <w:pPr>
              <w:adjustRightInd w:val="0"/>
              <w:snapToGrid w:val="0"/>
              <w:spacing w:line="360" w:lineRule="auto"/>
              <w:jc w:val="center"/>
              <w:rPr>
                <w:szCs w:val="21"/>
              </w:rPr>
            </w:pPr>
            <w:r w:rsidRPr="00B517A7">
              <w:rPr>
                <w:rFonts w:hAnsi="宋体"/>
                <w:szCs w:val="21"/>
              </w:rPr>
              <w:t>包膜内特殊形式的多倍化现象</w:t>
            </w:r>
          </w:p>
        </w:tc>
        <w:tc>
          <w:tcPr>
            <w:tcW w:w="704" w:type="pct"/>
            <w:vAlign w:val="center"/>
          </w:tcPr>
          <w:p w14:paraId="62B85786"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微小体</w:t>
            </w:r>
          </w:p>
        </w:tc>
        <w:tc>
          <w:tcPr>
            <w:tcW w:w="2443" w:type="pct"/>
            <w:vAlign w:val="center"/>
          </w:tcPr>
          <w:p w14:paraId="5502A3AB"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由染色体臂内断裂形成的微小断片，成圆点状</w:t>
            </w:r>
          </w:p>
        </w:tc>
      </w:tr>
      <w:tr w:rsidR="00E02136" w:rsidRPr="00B517A7" w14:paraId="3077E608" w14:textId="77777777" w:rsidTr="001204DD">
        <w:trPr>
          <w:trHeight w:val="223"/>
          <w:jc w:val="center"/>
        </w:trPr>
        <w:tc>
          <w:tcPr>
            <w:tcW w:w="446" w:type="pct"/>
            <w:vAlign w:val="center"/>
          </w:tcPr>
          <w:p w14:paraId="7D931323" w14:textId="77777777" w:rsidR="00E02136" w:rsidRPr="00B517A7" w:rsidRDefault="00E02136" w:rsidP="001204DD">
            <w:pPr>
              <w:pStyle w:val="1"/>
              <w:snapToGrid w:val="0"/>
              <w:spacing w:line="360" w:lineRule="auto"/>
              <w:jc w:val="center"/>
              <w:rPr>
                <w:rFonts w:ascii="Times New Roman"/>
                <w:szCs w:val="21"/>
              </w:rPr>
            </w:pPr>
          </w:p>
        </w:tc>
        <w:tc>
          <w:tcPr>
            <w:tcW w:w="1407" w:type="pct"/>
            <w:vAlign w:val="center"/>
          </w:tcPr>
          <w:p w14:paraId="0E5229F7" w14:textId="77777777" w:rsidR="00E02136" w:rsidRPr="00B517A7" w:rsidRDefault="00E02136" w:rsidP="001204DD">
            <w:pPr>
              <w:adjustRightInd w:val="0"/>
              <w:snapToGrid w:val="0"/>
              <w:spacing w:line="360" w:lineRule="auto"/>
              <w:jc w:val="center"/>
              <w:rPr>
                <w:szCs w:val="21"/>
              </w:rPr>
            </w:pPr>
          </w:p>
        </w:tc>
        <w:tc>
          <w:tcPr>
            <w:tcW w:w="704" w:type="pct"/>
            <w:vAlign w:val="center"/>
          </w:tcPr>
          <w:p w14:paraId="0120B323"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着丝粒环</w:t>
            </w:r>
          </w:p>
        </w:tc>
        <w:tc>
          <w:tcPr>
            <w:tcW w:w="2443" w:type="pct"/>
            <w:vAlign w:val="center"/>
          </w:tcPr>
          <w:p w14:paraId="5E85075A"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染色体臂断裂后，由带着丝粒节段两端连接而成的环，常伴有一对无着丝粒断片</w:t>
            </w:r>
          </w:p>
        </w:tc>
      </w:tr>
      <w:tr w:rsidR="00E02136" w:rsidRPr="00B517A7" w14:paraId="4BA13B0D" w14:textId="77777777" w:rsidTr="001204DD">
        <w:trPr>
          <w:trHeight w:val="293"/>
          <w:jc w:val="center"/>
        </w:trPr>
        <w:tc>
          <w:tcPr>
            <w:tcW w:w="446" w:type="pct"/>
            <w:vAlign w:val="center"/>
          </w:tcPr>
          <w:p w14:paraId="02C09A26" w14:textId="77777777" w:rsidR="00E02136" w:rsidRPr="00B517A7" w:rsidRDefault="00E02136" w:rsidP="001204DD">
            <w:pPr>
              <w:pStyle w:val="1"/>
              <w:snapToGrid w:val="0"/>
              <w:spacing w:line="360" w:lineRule="auto"/>
              <w:jc w:val="center"/>
              <w:rPr>
                <w:rFonts w:ascii="Times New Roman"/>
                <w:szCs w:val="21"/>
              </w:rPr>
            </w:pPr>
          </w:p>
        </w:tc>
        <w:tc>
          <w:tcPr>
            <w:tcW w:w="1407" w:type="pct"/>
            <w:vAlign w:val="center"/>
          </w:tcPr>
          <w:p w14:paraId="31E66418" w14:textId="77777777" w:rsidR="00E02136" w:rsidRPr="00B517A7" w:rsidRDefault="00E02136" w:rsidP="001204DD">
            <w:pPr>
              <w:pStyle w:val="1"/>
              <w:snapToGrid w:val="0"/>
              <w:spacing w:line="360" w:lineRule="auto"/>
              <w:jc w:val="center"/>
              <w:rPr>
                <w:rFonts w:ascii="Times New Roman"/>
                <w:szCs w:val="21"/>
              </w:rPr>
            </w:pPr>
          </w:p>
        </w:tc>
        <w:tc>
          <w:tcPr>
            <w:tcW w:w="704" w:type="pct"/>
            <w:vAlign w:val="center"/>
          </w:tcPr>
          <w:p w14:paraId="6E9AC0B7"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无着丝粒环</w:t>
            </w:r>
          </w:p>
        </w:tc>
        <w:tc>
          <w:tcPr>
            <w:tcW w:w="2443" w:type="pct"/>
            <w:vAlign w:val="center"/>
          </w:tcPr>
          <w:p w14:paraId="41E00EB6"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染色体臂断裂后，由无着丝粒节段的断片连接而成的环</w:t>
            </w:r>
          </w:p>
        </w:tc>
      </w:tr>
      <w:tr w:rsidR="00E02136" w:rsidRPr="00B517A7" w14:paraId="61EA9A75" w14:textId="77777777" w:rsidTr="001204DD">
        <w:trPr>
          <w:trHeight w:val="285"/>
          <w:jc w:val="center"/>
        </w:trPr>
        <w:tc>
          <w:tcPr>
            <w:tcW w:w="446" w:type="pct"/>
            <w:vAlign w:val="center"/>
          </w:tcPr>
          <w:p w14:paraId="036340E3" w14:textId="77777777" w:rsidR="00E02136" w:rsidRPr="00B517A7" w:rsidRDefault="00E02136" w:rsidP="001204DD">
            <w:pPr>
              <w:pStyle w:val="1"/>
              <w:snapToGrid w:val="0"/>
              <w:spacing w:line="360" w:lineRule="auto"/>
              <w:jc w:val="center"/>
              <w:rPr>
                <w:rFonts w:ascii="Times New Roman"/>
                <w:szCs w:val="21"/>
              </w:rPr>
            </w:pPr>
          </w:p>
        </w:tc>
        <w:tc>
          <w:tcPr>
            <w:tcW w:w="1407" w:type="pct"/>
            <w:vAlign w:val="center"/>
          </w:tcPr>
          <w:p w14:paraId="11BCEBCE" w14:textId="77777777" w:rsidR="00E02136" w:rsidRPr="00B517A7" w:rsidRDefault="00E02136" w:rsidP="001204DD">
            <w:pPr>
              <w:pStyle w:val="1"/>
              <w:snapToGrid w:val="0"/>
              <w:spacing w:line="360" w:lineRule="auto"/>
              <w:jc w:val="center"/>
              <w:rPr>
                <w:rFonts w:ascii="Times New Roman"/>
                <w:szCs w:val="21"/>
              </w:rPr>
            </w:pPr>
          </w:p>
        </w:tc>
        <w:tc>
          <w:tcPr>
            <w:tcW w:w="704" w:type="pct"/>
            <w:vAlign w:val="center"/>
          </w:tcPr>
          <w:p w14:paraId="17AEFF2D"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单体互换</w:t>
            </w:r>
          </w:p>
        </w:tc>
        <w:tc>
          <w:tcPr>
            <w:tcW w:w="2443" w:type="pct"/>
            <w:vAlign w:val="center"/>
          </w:tcPr>
          <w:p w14:paraId="2F8023CF"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可形成三</w:t>
            </w:r>
            <w:proofErr w:type="gramStart"/>
            <w:r w:rsidRPr="00B517A7">
              <w:rPr>
                <w:rFonts w:ascii="Times New Roman" w:hAnsi="宋体"/>
                <w:szCs w:val="21"/>
              </w:rPr>
              <w:t>辐</w:t>
            </w:r>
            <w:proofErr w:type="gramEnd"/>
            <w:r w:rsidRPr="00B517A7">
              <w:rPr>
                <w:rFonts w:ascii="Times New Roman" w:hAnsi="宋体"/>
                <w:szCs w:val="21"/>
              </w:rPr>
              <w:t>体（三条臂构型）、四</w:t>
            </w:r>
            <w:proofErr w:type="gramStart"/>
            <w:r w:rsidRPr="00B517A7">
              <w:rPr>
                <w:rFonts w:ascii="Times New Roman" w:hAnsi="宋体"/>
                <w:szCs w:val="21"/>
              </w:rPr>
              <w:t>辐</w:t>
            </w:r>
            <w:proofErr w:type="gramEnd"/>
            <w:r w:rsidRPr="00B517A7">
              <w:rPr>
                <w:rFonts w:ascii="Times New Roman" w:hAnsi="宋体"/>
                <w:szCs w:val="21"/>
              </w:rPr>
              <w:t>体（四条臂构型）或其它形状的构型</w:t>
            </w:r>
          </w:p>
        </w:tc>
      </w:tr>
      <w:tr w:rsidR="00E02136" w:rsidRPr="00B517A7" w14:paraId="004066C9" w14:textId="77777777" w:rsidTr="001204DD">
        <w:trPr>
          <w:trHeight w:val="263"/>
          <w:jc w:val="center"/>
        </w:trPr>
        <w:tc>
          <w:tcPr>
            <w:tcW w:w="446" w:type="pct"/>
            <w:vAlign w:val="center"/>
          </w:tcPr>
          <w:p w14:paraId="003467AE" w14:textId="77777777" w:rsidR="00E02136" w:rsidRPr="00B517A7" w:rsidRDefault="00E02136" w:rsidP="001204DD">
            <w:pPr>
              <w:pStyle w:val="1"/>
              <w:snapToGrid w:val="0"/>
              <w:spacing w:line="360" w:lineRule="auto"/>
              <w:jc w:val="center"/>
              <w:rPr>
                <w:rFonts w:ascii="Times New Roman"/>
                <w:szCs w:val="21"/>
              </w:rPr>
            </w:pPr>
          </w:p>
        </w:tc>
        <w:tc>
          <w:tcPr>
            <w:tcW w:w="1407" w:type="pct"/>
            <w:vAlign w:val="center"/>
          </w:tcPr>
          <w:p w14:paraId="757A2446" w14:textId="77777777" w:rsidR="00E02136" w:rsidRPr="00B517A7" w:rsidRDefault="00E02136" w:rsidP="001204DD">
            <w:pPr>
              <w:pStyle w:val="1"/>
              <w:snapToGrid w:val="0"/>
              <w:spacing w:line="360" w:lineRule="auto"/>
              <w:jc w:val="center"/>
              <w:rPr>
                <w:rFonts w:ascii="Times New Roman"/>
                <w:szCs w:val="21"/>
              </w:rPr>
            </w:pPr>
          </w:p>
        </w:tc>
        <w:tc>
          <w:tcPr>
            <w:tcW w:w="704" w:type="pct"/>
            <w:vAlign w:val="center"/>
          </w:tcPr>
          <w:p w14:paraId="69CE75C2"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双微小体</w:t>
            </w:r>
          </w:p>
        </w:tc>
        <w:tc>
          <w:tcPr>
            <w:tcW w:w="2443" w:type="pct"/>
            <w:vAlign w:val="center"/>
          </w:tcPr>
          <w:p w14:paraId="30888418"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成对的染色质小体</w:t>
            </w:r>
          </w:p>
        </w:tc>
      </w:tr>
      <w:tr w:rsidR="00E02136" w:rsidRPr="00B517A7" w14:paraId="76801F44" w14:textId="77777777" w:rsidTr="001204DD">
        <w:trPr>
          <w:trHeight w:val="309"/>
          <w:jc w:val="center"/>
        </w:trPr>
        <w:tc>
          <w:tcPr>
            <w:tcW w:w="446" w:type="pct"/>
            <w:vAlign w:val="center"/>
          </w:tcPr>
          <w:p w14:paraId="41B3ED3C" w14:textId="77777777" w:rsidR="00E02136" w:rsidRPr="00B517A7" w:rsidRDefault="00E02136" w:rsidP="001204DD">
            <w:pPr>
              <w:pStyle w:val="1"/>
              <w:snapToGrid w:val="0"/>
              <w:spacing w:line="360" w:lineRule="auto"/>
              <w:jc w:val="center"/>
              <w:rPr>
                <w:rFonts w:ascii="Times New Roman"/>
                <w:szCs w:val="21"/>
              </w:rPr>
            </w:pPr>
          </w:p>
        </w:tc>
        <w:tc>
          <w:tcPr>
            <w:tcW w:w="1407" w:type="pct"/>
            <w:vAlign w:val="center"/>
          </w:tcPr>
          <w:p w14:paraId="2EA0E3D3" w14:textId="77777777" w:rsidR="00E02136" w:rsidRPr="00B517A7" w:rsidRDefault="00E02136" w:rsidP="001204DD">
            <w:pPr>
              <w:pStyle w:val="1"/>
              <w:snapToGrid w:val="0"/>
              <w:spacing w:line="360" w:lineRule="auto"/>
              <w:jc w:val="center"/>
              <w:rPr>
                <w:rFonts w:ascii="Times New Roman"/>
                <w:szCs w:val="21"/>
              </w:rPr>
            </w:pPr>
          </w:p>
        </w:tc>
        <w:tc>
          <w:tcPr>
            <w:tcW w:w="704" w:type="pct"/>
            <w:vAlign w:val="center"/>
          </w:tcPr>
          <w:p w14:paraId="6D50F363"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非特定性型变化</w:t>
            </w:r>
          </w:p>
        </w:tc>
        <w:tc>
          <w:tcPr>
            <w:tcW w:w="2443" w:type="pct"/>
            <w:vAlign w:val="center"/>
          </w:tcPr>
          <w:p w14:paraId="5595FFB8" w14:textId="77777777" w:rsidR="00E02136" w:rsidRPr="00B517A7" w:rsidRDefault="00E02136" w:rsidP="001204DD">
            <w:pPr>
              <w:pStyle w:val="1"/>
              <w:snapToGrid w:val="0"/>
              <w:spacing w:line="360" w:lineRule="auto"/>
              <w:jc w:val="center"/>
              <w:rPr>
                <w:rFonts w:ascii="Times New Roman"/>
                <w:szCs w:val="21"/>
              </w:rPr>
            </w:pPr>
            <w:r w:rsidRPr="00B517A7">
              <w:rPr>
                <w:rFonts w:ascii="Times New Roman" w:hAnsi="宋体"/>
                <w:szCs w:val="21"/>
              </w:rPr>
              <w:t>如粉碎化</w:t>
            </w:r>
            <w:proofErr w:type="gramStart"/>
            <w:r w:rsidRPr="00B517A7">
              <w:rPr>
                <w:rFonts w:ascii="Times New Roman" w:hAnsi="宋体"/>
                <w:szCs w:val="21"/>
              </w:rPr>
              <w:t>、着</w:t>
            </w:r>
            <w:proofErr w:type="gramEnd"/>
            <w:r w:rsidRPr="00B517A7">
              <w:rPr>
                <w:rFonts w:ascii="Times New Roman" w:hAnsi="宋体"/>
                <w:szCs w:val="21"/>
              </w:rPr>
              <w:t>丝点细长化、粘着等</w:t>
            </w:r>
          </w:p>
        </w:tc>
      </w:tr>
    </w:tbl>
    <w:p w14:paraId="2C3C6359" w14:textId="77777777" w:rsidR="00E02136" w:rsidRPr="005740E6" w:rsidRDefault="00E02136" w:rsidP="00E02136">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（二）</w:t>
      </w:r>
      <w:bookmarkStart w:id="26" w:name="_Hlk182428074"/>
      <w:r w:rsidRPr="005740E6">
        <w:rPr>
          <w:rFonts w:ascii="黑体" w:eastAsia="黑体" w:hAnsi="黑体" w:hint="eastAsia"/>
          <w:sz w:val="24"/>
        </w:rPr>
        <w:t>历史对照数据库的建立</w:t>
      </w:r>
      <w:bookmarkEnd w:id="26"/>
    </w:p>
    <w:p w14:paraId="23BC19B0"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实验室应建立历史对照数据库，包括结果范围和分布，并应采用质量控制方法，如控制图表（如</w:t>
      </w:r>
      <w:r w:rsidRPr="00595D0E">
        <w:rPr>
          <w:sz w:val="24"/>
        </w:rPr>
        <w:t>C-</w:t>
      </w:r>
      <w:r w:rsidRPr="00595D0E">
        <w:rPr>
          <w:rFonts w:hint="eastAsia"/>
          <w:sz w:val="24"/>
        </w:rPr>
        <w:t>图或</w:t>
      </w:r>
      <w:r w:rsidRPr="00595D0E">
        <w:rPr>
          <w:sz w:val="24"/>
        </w:rPr>
        <w:t>X-bar</w:t>
      </w:r>
      <w:r w:rsidRPr="00595D0E">
        <w:rPr>
          <w:rFonts w:hint="eastAsia"/>
          <w:sz w:val="24"/>
        </w:rPr>
        <w:t>图），以确定对照数据可控。对试验方案的任何修改都应考虑到其与实验室现有历史对照数据的一致性。只有重大不一致才将需建立新的历史对照数据库，并需专家判断。</w:t>
      </w:r>
    </w:p>
    <w:p w14:paraId="02322BF0" w14:textId="77777777" w:rsidR="00E02136" w:rsidRPr="00595D0E" w:rsidRDefault="00E02136" w:rsidP="00E02136">
      <w:pPr>
        <w:adjustRightInd w:val="0"/>
        <w:snapToGrid w:val="0"/>
        <w:spacing w:line="360" w:lineRule="auto"/>
        <w:ind w:firstLineChars="200" w:firstLine="480"/>
        <w:jc w:val="both"/>
      </w:pPr>
      <w:r w:rsidRPr="00595D0E">
        <w:rPr>
          <w:rFonts w:hint="eastAsia"/>
          <w:sz w:val="24"/>
        </w:rPr>
        <w:t>当首次获取历史阴性对照分布的数据时，</w:t>
      </w:r>
      <w:proofErr w:type="gramStart"/>
      <w:r w:rsidRPr="00595D0E">
        <w:rPr>
          <w:rFonts w:hint="eastAsia"/>
          <w:sz w:val="24"/>
        </w:rPr>
        <w:t>阴性对</w:t>
      </w:r>
      <w:proofErr w:type="gramEnd"/>
      <w:r w:rsidRPr="00595D0E">
        <w:rPr>
          <w:rFonts w:hint="eastAsia"/>
          <w:sz w:val="24"/>
        </w:rPr>
        <w:t>照应与已公开发布的对照数据（若有）一致。随着越来越多的</w:t>
      </w:r>
      <w:r>
        <w:rPr>
          <w:rFonts w:hint="eastAsia"/>
          <w:sz w:val="24"/>
        </w:rPr>
        <w:t>试</w:t>
      </w:r>
      <w:r w:rsidRPr="00595D0E">
        <w:rPr>
          <w:rFonts w:hint="eastAsia"/>
          <w:sz w:val="24"/>
        </w:rPr>
        <w:t>验数据被添加到对照分布中，阴性对照理想情况下应在分布的</w:t>
      </w:r>
      <w:r w:rsidRPr="00595D0E">
        <w:rPr>
          <w:sz w:val="24"/>
        </w:rPr>
        <w:t>95%</w:t>
      </w:r>
      <w:bookmarkStart w:id="27" w:name="_Hlk171283502"/>
      <w:r w:rsidRPr="00595D0E">
        <w:rPr>
          <w:rFonts w:hint="eastAsia"/>
          <w:sz w:val="24"/>
        </w:rPr>
        <w:t>置信区间</w:t>
      </w:r>
      <w:bookmarkEnd w:id="27"/>
      <w:r w:rsidRPr="00595D0E">
        <w:rPr>
          <w:rFonts w:hint="eastAsia"/>
          <w:sz w:val="24"/>
        </w:rPr>
        <w:t>内，但对于在</w:t>
      </w:r>
      <w:bookmarkStart w:id="28" w:name="_Hlk171283898"/>
      <w:r w:rsidRPr="00595D0E">
        <w:rPr>
          <w:sz w:val="24"/>
        </w:rPr>
        <w:t>95%</w:t>
      </w:r>
      <w:r w:rsidRPr="00595D0E">
        <w:rPr>
          <w:rFonts w:hint="eastAsia"/>
          <w:sz w:val="24"/>
        </w:rPr>
        <w:t>置信区间范围</w:t>
      </w:r>
      <w:bookmarkEnd w:id="28"/>
      <w:r w:rsidRPr="00595D0E">
        <w:rPr>
          <w:rFonts w:hint="eastAsia"/>
          <w:sz w:val="24"/>
        </w:rPr>
        <w:t>之外的阴性对照数据，如果不是极端的异常值，并且有证据表明试验系统可控，没有技术或人为差错，可将其纳入历史对照库中。</w:t>
      </w:r>
    </w:p>
    <w:p w14:paraId="59CC561A" w14:textId="617F632E" w:rsidR="00E02136" w:rsidRPr="00B517A7" w:rsidRDefault="009F4DFF" w:rsidP="00E02136">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六</w:t>
      </w:r>
      <w:r w:rsidR="00D03DB6">
        <w:rPr>
          <w:rFonts w:ascii="黑体" w:eastAsia="黑体" w:hAnsi="黑体"/>
          <w:sz w:val="28"/>
          <w:szCs w:val="28"/>
        </w:rPr>
        <w:t>、</w:t>
      </w:r>
      <w:r w:rsidR="00E02136" w:rsidRPr="00B517A7">
        <w:rPr>
          <w:rFonts w:ascii="黑体" w:eastAsia="黑体" w:hAnsi="黑体" w:hint="eastAsia"/>
          <w:sz w:val="28"/>
          <w:szCs w:val="28"/>
        </w:rPr>
        <w:t>术语</w:t>
      </w:r>
    </w:p>
    <w:p w14:paraId="0F0FFAF8" w14:textId="77777777" w:rsidR="00E02136" w:rsidRPr="0001104D" w:rsidRDefault="00E02136" w:rsidP="00E02136">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染色体型畸变（</w:t>
      </w:r>
      <w:r w:rsidRPr="008D47BA">
        <w:rPr>
          <w:color w:val="000000"/>
          <w:spacing w:val="-3"/>
          <w:kern w:val="0"/>
          <w:sz w:val="24"/>
          <w:lang w:val="x-none"/>
        </w:rPr>
        <w:t>Chromosome-type aberration</w:t>
      </w:r>
      <w:r w:rsidRPr="008D47BA">
        <w:rPr>
          <w:rFonts w:hint="eastAsia"/>
          <w:color w:val="000000"/>
          <w:spacing w:val="-3"/>
          <w:kern w:val="0"/>
          <w:sz w:val="24"/>
          <w:lang w:val="x-none"/>
        </w:rPr>
        <w:t>）：染色体结构损伤，表现为在两个染色单体的相同位点均出现断裂或断裂重组的改变。</w:t>
      </w:r>
    </w:p>
    <w:p w14:paraId="731BA633" w14:textId="77777777" w:rsidR="00E02136" w:rsidRPr="0001104D" w:rsidRDefault="00E02136" w:rsidP="00E02136">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染色单体型畸变（</w:t>
      </w:r>
      <w:r w:rsidRPr="008D47BA">
        <w:rPr>
          <w:color w:val="000000"/>
          <w:spacing w:val="-3"/>
          <w:kern w:val="0"/>
          <w:sz w:val="24"/>
          <w:lang w:val="x-none"/>
        </w:rPr>
        <w:t>Chromatid-type aberration</w:t>
      </w:r>
      <w:r w:rsidRPr="008D47BA">
        <w:rPr>
          <w:rFonts w:hint="eastAsia"/>
          <w:color w:val="000000"/>
          <w:spacing w:val="-3"/>
          <w:kern w:val="0"/>
          <w:sz w:val="24"/>
          <w:lang w:val="x-none"/>
        </w:rPr>
        <w:t>）：染色体结构损伤，表现为染色单体断裂或染色单体断裂重组的损伤。</w:t>
      </w:r>
    </w:p>
    <w:p w14:paraId="06C3F5E1" w14:textId="77777777" w:rsidR="00E02136" w:rsidRPr="0001104D" w:rsidRDefault="00E02136" w:rsidP="00E02136">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染色体数目畸变（</w:t>
      </w:r>
      <w:r w:rsidRPr="008D47BA">
        <w:rPr>
          <w:color w:val="000000"/>
          <w:spacing w:val="-3"/>
          <w:kern w:val="0"/>
          <w:sz w:val="24"/>
          <w:lang w:val="x-none"/>
        </w:rPr>
        <w:t>Numerical-type aberration</w:t>
      </w:r>
      <w:r w:rsidRPr="008D47BA">
        <w:rPr>
          <w:rFonts w:hint="eastAsia"/>
          <w:color w:val="000000"/>
          <w:spacing w:val="-3"/>
          <w:kern w:val="0"/>
          <w:sz w:val="24"/>
          <w:lang w:val="x-none"/>
        </w:rPr>
        <w:t>）：哺乳动物细胞染色体数目的改变。</w:t>
      </w:r>
    </w:p>
    <w:p w14:paraId="26BC7C40" w14:textId="77777777" w:rsidR="00E02136" w:rsidRPr="0001104D" w:rsidRDefault="00E02136" w:rsidP="00E02136">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着丝粒（</w:t>
      </w:r>
      <w:r w:rsidRPr="0001104D">
        <w:rPr>
          <w:color w:val="000000"/>
          <w:spacing w:val="-3"/>
          <w:kern w:val="0"/>
          <w:sz w:val="24"/>
          <w:lang w:val="x-none"/>
        </w:rPr>
        <w:t>Centromere/kinetochore</w:t>
      </w:r>
      <w:r w:rsidRPr="008D47BA">
        <w:rPr>
          <w:rFonts w:hint="eastAsia"/>
          <w:color w:val="000000"/>
          <w:spacing w:val="-3"/>
          <w:kern w:val="0"/>
          <w:sz w:val="24"/>
          <w:lang w:val="x-none"/>
        </w:rPr>
        <w:t>）：在细胞分裂期染色体与纺锤体纤维连接的区域，以使子染色体有序移动到子细胞两极。</w:t>
      </w:r>
    </w:p>
    <w:p w14:paraId="27F76FFA" w14:textId="6F0CCCC6" w:rsidR="00E02136" w:rsidRPr="005740E6" w:rsidRDefault="009F4DFF" w:rsidP="00E02136">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七</w:t>
      </w:r>
      <w:r w:rsidR="00D03DB6">
        <w:rPr>
          <w:rFonts w:ascii="黑体" w:eastAsia="黑体" w:hAnsi="黑体"/>
          <w:sz w:val="28"/>
          <w:szCs w:val="28"/>
        </w:rPr>
        <w:t>、</w:t>
      </w:r>
      <w:r w:rsidR="00E02136" w:rsidRPr="005740E6">
        <w:rPr>
          <w:rFonts w:ascii="黑体" w:eastAsia="黑体" w:hAnsi="黑体" w:hint="eastAsia"/>
          <w:sz w:val="28"/>
          <w:szCs w:val="28"/>
        </w:rPr>
        <w:t>参考文献</w:t>
      </w:r>
    </w:p>
    <w:p w14:paraId="5A8FA3A8" w14:textId="77777777" w:rsidR="00E02136" w:rsidRPr="0001104D" w:rsidRDefault="00E02136" w:rsidP="00E02136">
      <w:pPr>
        <w:adjustRightInd w:val="0"/>
        <w:snapToGrid w:val="0"/>
        <w:spacing w:line="360" w:lineRule="auto"/>
        <w:ind w:firstLineChars="200" w:firstLine="480"/>
        <w:jc w:val="both"/>
        <w:rPr>
          <w:kern w:val="0"/>
          <w:sz w:val="24"/>
        </w:rPr>
      </w:pPr>
      <w:r w:rsidRPr="0001104D">
        <w:rPr>
          <w:kern w:val="0"/>
          <w:sz w:val="24"/>
        </w:rPr>
        <w:lastRenderedPageBreak/>
        <w:t xml:space="preserve">1. </w:t>
      </w:r>
      <w:r>
        <w:rPr>
          <w:rFonts w:hint="eastAsia"/>
          <w:kern w:val="0"/>
          <w:sz w:val="24"/>
        </w:rPr>
        <w:t>国家药品监督管理局药品审评中心</w:t>
      </w:r>
      <w:r w:rsidRPr="0001104D">
        <w:rPr>
          <w:kern w:val="0"/>
          <w:sz w:val="24"/>
        </w:rPr>
        <w:t xml:space="preserve">. </w:t>
      </w:r>
      <w:r w:rsidRPr="008D47BA">
        <w:rPr>
          <w:rFonts w:hint="eastAsia"/>
          <w:kern w:val="0"/>
          <w:sz w:val="24"/>
        </w:rPr>
        <w:t>药物遗传毒性研究技术指导原则</w:t>
      </w:r>
      <w:r w:rsidRPr="0001104D">
        <w:rPr>
          <w:kern w:val="0"/>
          <w:sz w:val="24"/>
        </w:rPr>
        <w:t>[S]. 2018.</w:t>
      </w:r>
    </w:p>
    <w:p w14:paraId="53865C11" w14:textId="77777777" w:rsidR="00E02136" w:rsidRPr="0001104D" w:rsidRDefault="00E02136" w:rsidP="00E02136">
      <w:pPr>
        <w:adjustRightInd w:val="0"/>
        <w:snapToGrid w:val="0"/>
        <w:spacing w:line="360" w:lineRule="auto"/>
        <w:ind w:firstLineChars="200" w:firstLine="480"/>
        <w:jc w:val="both"/>
        <w:rPr>
          <w:sz w:val="24"/>
        </w:rPr>
      </w:pPr>
      <w:r w:rsidRPr="0001104D">
        <w:rPr>
          <w:sz w:val="24"/>
        </w:rPr>
        <w:t>2. OECD. Guideline for the testing of chemicals No.47</w:t>
      </w:r>
      <w:r w:rsidRPr="008D47BA">
        <w:rPr>
          <w:sz w:val="24"/>
        </w:rPr>
        <w:t>5</w:t>
      </w:r>
      <w:r w:rsidRPr="0001104D">
        <w:rPr>
          <w:sz w:val="24"/>
        </w:rPr>
        <w:t xml:space="preserve">: </w:t>
      </w:r>
      <w:r w:rsidRPr="008D47BA">
        <w:rPr>
          <w:sz w:val="24"/>
        </w:rPr>
        <w:t>M</w:t>
      </w:r>
      <w:r w:rsidRPr="0001104D">
        <w:rPr>
          <w:sz w:val="24"/>
        </w:rPr>
        <w:t>ammalian bone marrow chromosomal aberration test. 20</w:t>
      </w:r>
      <w:r w:rsidRPr="008D47BA">
        <w:rPr>
          <w:sz w:val="24"/>
        </w:rPr>
        <w:t>16</w:t>
      </w:r>
      <w:r w:rsidRPr="0001104D">
        <w:rPr>
          <w:sz w:val="24"/>
        </w:rPr>
        <w:t>.</w:t>
      </w:r>
    </w:p>
    <w:p w14:paraId="6486D190" w14:textId="77777777" w:rsidR="00E02136" w:rsidRPr="0001104D" w:rsidRDefault="00E02136" w:rsidP="00E02136">
      <w:pPr>
        <w:adjustRightInd w:val="0"/>
        <w:snapToGrid w:val="0"/>
        <w:spacing w:line="360" w:lineRule="auto"/>
        <w:ind w:firstLineChars="200" w:firstLine="480"/>
        <w:jc w:val="both"/>
        <w:rPr>
          <w:sz w:val="24"/>
        </w:rPr>
      </w:pPr>
      <w:r w:rsidRPr="0001104D">
        <w:rPr>
          <w:sz w:val="24"/>
        </w:rPr>
        <w:t xml:space="preserve">3. </w:t>
      </w:r>
      <w:r w:rsidRPr="008D47BA">
        <w:rPr>
          <w:rFonts w:hint="eastAsia"/>
          <w:sz w:val="24"/>
        </w:rPr>
        <w:t>国家药品监督管理局</w:t>
      </w:r>
      <w:r w:rsidRPr="0001104D">
        <w:rPr>
          <w:sz w:val="24"/>
        </w:rPr>
        <w:t>.</w:t>
      </w:r>
      <w:r>
        <w:rPr>
          <w:rFonts w:hint="eastAsia"/>
          <w:sz w:val="24"/>
        </w:rPr>
        <w:t xml:space="preserve"> </w:t>
      </w:r>
      <w:r w:rsidRPr="008D47BA">
        <w:rPr>
          <w:rFonts w:hint="eastAsia"/>
          <w:sz w:val="24"/>
        </w:rPr>
        <w:t>化妆品安全技术规范</w:t>
      </w:r>
      <w:r w:rsidRPr="0001104D">
        <w:rPr>
          <w:sz w:val="24"/>
        </w:rPr>
        <w:t>.2015.</w:t>
      </w:r>
    </w:p>
    <w:p w14:paraId="232275E7" w14:textId="5918CBCD" w:rsidR="00E02136" w:rsidRPr="0001104D" w:rsidRDefault="00E02136" w:rsidP="00E02136">
      <w:pPr>
        <w:adjustRightInd w:val="0"/>
        <w:snapToGrid w:val="0"/>
        <w:spacing w:line="360" w:lineRule="auto"/>
        <w:ind w:firstLineChars="200" w:firstLine="480"/>
        <w:jc w:val="both"/>
        <w:rPr>
          <w:sz w:val="24"/>
        </w:rPr>
      </w:pPr>
      <w:r w:rsidRPr="0001104D">
        <w:rPr>
          <w:sz w:val="24"/>
        </w:rPr>
        <w:t xml:space="preserve">4. </w:t>
      </w:r>
      <w:r w:rsidR="00185472" w:rsidRPr="00185472">
        <w:rPr>
          <w:rFonts w:hint="eastAsia"/>
          <w:sz w:val="24"/>
        </w:rPr>
        <w:t>中华人民共和国国家卫生健康委员会</w:t>
      </w:r>
      <w:r w:rsidRPr="0001104D">
        <w:rPr>
          <w:sz w:val="24"/>
        </w:rPr>
        <w:t xml:space="preserve">. </w:t>
      </w:r>
      <w:bookmarkStart w:id="29" w:name="_Hlk182424042"/>
      <w:r w:rsidRPr="008D47BA">
        <w:rPr>
          <w:rFonts w:hint="eastAsia"/>
          <w:sz w:val="24"/>
        </w:rPr>
        <w:t>食品安全国家标准</w:t>
      </w:r>
      <w:r w:rsidRPr="0001104D">
        <w:rPr>
          <w:sz w:val="24"/>
        </w:rPr>
        <w:t xml:space="preserve"> </w:t>
      </w:r>
      <w:r w:rsidRPr="008D47BA">
        <w:rPr>
          <w:rFonts w:hint="eastAsia"/>
          <w:sz w:val="24"/>
        </w:rPr>
        <w:t>哺乳动物骨髓细胞染色体畸变试验</w:t>
      </w:r>
      <w:r w:rsidRPr="0001104D">
        <w:rPr>
          <w:sz w:val="24"/>
        </w:rPr>
        <w:t>: GB 15193.</w:t>
      </w:r>
      <w:r w:rsidRPr="008D47BA">
        <w:rPr>
          <w:sz w:val="24"/>
        </w:rPr>
        <w:t>6</w:t>
      </w:r>
      <w:r w:rsidRPr="0001104D">
        <w:rPr>
          <w:sz w:val="24"/>
        </w:rPr>
        <w:t>-2014</w:t>
      </w:r>
      <w:bookmarkEnd w:id="29"/>
      <w:r w:rsidRPr="0001104D">
        <w:rPr>
          <w:sz w:val="24"/>
        </w:rPr>
        <w:t>[S]. 2015.</w:t>
      </w:r>
    </w:p>
    <w:p w14:paraId="7C11EAAB" w14:textId="77777777" w:rsidR="00E02136" w:rsidRDefault="00E02136" w:rsidP="00E02136">
      <w:pPr>
        <w:adjustRightInd w:val="0"/>
        <w:snapToGrid w:val="0"/>
        <w:spacing w:line="360" w:lineRule="auto"/>
        <w:ind w:firstLineChars="200" w:firstLine="480"/>
        <w:jc w:val="both"/>
        <w:rPr>
          <w:sz w:val="24"/>
        </w:rPr>
      </w:pPr>
      <w:r w:rsidRPr="0011464D">
        <w:rPr>
          <w:sz w:val="24"/>
        </w:rPr>
        <w:t xml:space="preserve">5. </w:t>
      </w:r>
      <w:r w:rsidRPr="00C00B66">
        <w:rPr>
          <w:sz w:val="24"/>
        </w:rPr>
        <w:t>VICH GL23</w:t>
      </w:r>
      <w:r>
        <w:rPr>
          <w:rFonts w:hint="eastAsia"/>
          <w:sz w:val="24"/>
        </w:rPr>
        <w:t xml:space="preserve"> </w:t>
      </w:r>
      <w:r w:rsidRPr="00C00B66">
        <w:rPr>
          <w:sz w:val="24"/>
        </w:rPr>
        <w:t>(R). Studies to evaluate the safety of residues of veterinary drugs in human food: genotoxicity testing. 20</w:t>
      </w:r>
      <w:r>
        <w:rPr>
          <w:rFonts w:hint="eastAsia"/>
          <w:sz w:val="24"/>
        </w:rPr>
        <w:t>15</w:t>
      </w:r>
      <w:r w:rsidRPr="00C00B66">
        <w:rPr>
          <w:sz w:val="24"/>
        </w:rPr>
        <w:t>.</w:t>
      </w:r>
    </w:p>
    <w:p w14:paraId="56649476" w14:textId="77777777" w:rsidR="00E02136" w:rsidRDefault="00E02136" w:rsidP="00E02136">
      <w:pPr>
        <w:adjustRightInd w:val="0"/>
        <w:snapToGrid w:val="0"/>
        <w:spacing w:line="360" w:lineRule="auto"/>
        <w:ind w:firstLineChars="200" w:firstLine="480"/>
        <w:jc w:val="both"/>
        <w:rPr>
          <w:sz w:val="24"/>
        </w:rPr>
      </w:pPr>
      <w:r>
        <w:rPr>
          <w:rFonts w:hint="eastAsia"/>
          <w:sz w:val="24"/>
        </w:rPr>
        <w:t>6</w:t>
      </w:r>
      <w:r w:rsidRPr="00C00B66">
        <w:rPr>
          <w:sz w:val="24"/>
        </w:rPr>
        <w:t xml:space="preserve">. </w:t>
      </w:r>
      <w:r w:rsidRPr="0011464D">
        <w:rPr>
          <w:sz w:val="24"/>
        </w:rPr>
        <w:t>VICH GL23</w:t>
      </w:r>
      <w:r>
        <w:rPr>
          <w:rFonts w:hint="eastAsia"/>
          <w:sz w:val="24"/>
        </w:rPr>
        <w:t xml:space="preserve"> </w:t>
      </w:r>
      <w:r w:rsidRPr="0011464D">
        <w:rPr>
          <w:sz w:val="24"/>
        </w:rPr>
        <w:t>(R2). Studies to evaluate the safety of residues of veterinary drugs in human food: genotoxicity testing</w:t>
      </w:r>
      <w:r w:rsidRPr="00C00B66">
        <w:t xml:space="preserve"> </w:t>
      </w:r>
      <w:r w:rsidRPr="00C00B66">
        <w:rPr>
          <w:sz w:val="24"/>
        </w:rPr>
        <w:t>(</w:t>
      </w:r>
      <w:r>
        <w:rPr>
          <w:rFonts w:hint="eastAsia"/>
          <w:sz w:val="24"/>
        </w:rPr>
        <w:t>d</w:t>
      </w:r>
      <w:r w:rsidRPr="00C00B66">
        <w:rPr>
          <w:sz w:val="24"/>
        </w:rPr>
        <w:t>raft guidelines)</w:t>
      </w:r>
      <w:r w:rsidRPr="0011464D">
        <w:rPr>
          <w:sz w:val="24"/>
        </w:rPr>
        <w:t>. 2024.</w:t>
      </w:r>
    </w:p>
    <w:p w14:paraId="6BA053E6" w14:textId="77777777" w:rsidR="0053644F" w:rsidRPr="00E02136" w:rsidRDefault="0053644F" w:rsidP="00E02136">
      <w:pPr>
        <w:adjustRightInd w:val="0"/>
        <w:snapToGrid w:val="0"/>
        <w:spacing w:line="360" w:lineRule="auto"/>
        <w:jc w:val="both"/>
        <w:rPr>
          <w:color w:val="000000"/>
          <w:spacing w:val="-3"/>
          <w:kern w:val="0"/>
          <w:sz w:val="24"/>
        </w:rPr>
      </w:pPr>
    </w:p>
    <w:sectPr w:rsidR="0053644F" w:rsidRPr="00E021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F6D0" w14:textId="77777777" w:rsidR="00F4227C" w:rsidRDefault="00F4227C" w:rsidP="00D03DB6">
      <w:r>
        <w:separator/>
      </w:r>
    </w:p>
  </w:endnote>
  <w:endnote w:type="continuationSeparator" w:id="0">
    <w:p w14:paraId="03ECB362" w14:textId="77777777" w:rsidR="00F4227C" w:rsidRDefault="00F4227C" w:rsidP="00D0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2F6E" w14:textId="77777777" w:rsidR="00F4227C" w:rsidRDefault="00F4227C" w:rsidP="00D03DB6">
      <w:r>
        <w:separator/>
      </w:r>
    </w:p>
  </w:footnote>
  <w:footnote w:type="continuationSeparator" w:id="0">
    <w:p w14:paraId="08146094" w14:textId="77777777" w:rsidR="00F4227C" w:rsidRDefault="00F4227C" w:rsidP="00D03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36"/>
    <w:rsid w:val="000259FB"/>
    <w:rsid w:val="00091FB7"/>
    <w:rsid w:val="0012175A"/>
    <w:rsid w:val="00180556"/>
    <w:rsid w:val="00185472"/>
    <w:rsid w:val="001B73C6"/>
    <w:rsid w:val="00215F5D"/>
    <w:rsid w:val="00260844"/>
    <w:rsid w:val="00314775"/>
    <w:rsid w:val="00345F79"/>
    <w:rsid w:val="0036474B"/>
    <w:rsid w:val="003B5D5B"/>
    <w:rsid w:val="0043228B"/>
    <w:rsid w:val="004343D3"/>
    <w:rsid w:val="00436965"/>
    <w:rsid w:val="00437DCA"/>
    <w:rsid w:val="00443F5E"/>
    <w:rsid w:val="004B79ED"/>
    <w:rsid w:val="00517E6E"/>
    <w:rsid w:val="00523C93"/>
    <w:rsid w:val="0053644F"/>
    <w:rsid w:val="00575D7C"/>
    <w:rsid w:val="00594337"/>
    <w:rsid w:val="005A2382"/>
    <w:rsid w:val="00605A53"/>
    <w:rsid w:val="00607BB7"/>
    <w:rsid w:val="006B4D95"/>
    <w:rsid w:val="00810A27"/>
    <w:rsid w:val="00904C8D"/>
    <w:rsid w:val="009533F5"/>
    <w:rsid w:val="00995B10"/>
    <w:rsid w:val="009F4DFF"/>
    <w:rsid w:val="00A17807"/>
    <w:rsid w:val="00A219AE"/>
    <w:rsid w:val="00AB1008"/>
    <w:rsid w:val="00AE752E"/>
    <w:rsid w:val="00B1683C"/>
    <w:rsid w:val="00B574D2"/>
    <w:rsid w:val="00BA4E48"/>
    <w:rsid w:val="00BD329F"/>
    <w:rsid w:val="00C82163"/>
    <w:rsid w:val="00CB0153"/>
    <w:rsid w:val="00CB6A80"/>
    <w:rsid w:val="00D03DB6"/>
    <w:rsid w:val="00E02136"/>
    <w:rsid w:val="00ED5A25"/>
    <w:rsid w:val="00F4227C"/>
    <w:rsid w:val="00FC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76834"/>
  <w15:chartTrackingRefBased/>
  <w15:docId w15:val="{ECF57CD8-53B3-4DD0-901C-4C84755A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136"/>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rsid w:val="00E02136"/>
    <w:pPr>
      <w:widowControl w:val="0"/>
      <w:adjustRightInd w:val="0"/>
      <w:jc w:val="both"/>
    </w:pPr>
    <w:rPr>
      <w:rFonts w:ascii="宋体" w:hAnsi="Courier New"/>
      <w:szCs w:val="20"/>
    </w:rPr>
  </w:style>
  <w:style w:type="character" w:styleId="a3">
    <w:name w:val="annotation reference"/>
    <w:basedOn w:val="a0"/>
    <w:uiPriority w:val="99"/>
    <w:semiHidden/>
    <w:unhideWhenUsed/>
    <w:rsid w:val="00B574D2"/>
    <w:rPr>
      <w:sz w:val="21"/>
      <w:szCs w:val="21"/>
    </w:rPr>
  </w:style>
  <w:style w:type="paragraph" w:styleId="a4">
    <w:name w:val="annotation text"/>
    <w:basedOn w:val="a"/>
    <w:link w:val="a5"/>
    <w:uiPriority w:val="99"/>
    <w:semiHidden/>
    <w:unhideWhenUsed/>
    <w:rsid w:val="00B574D2"/>
  </w:style>
  <w:style w:type="character" w:customStyle="1" w:styleId="a5">
    <w:name w:val="批注文字 字符"/>
    <w:basedOn w:val="a0"/>
    <w:link w:val="a4"/>
    <w:uiPriority w:val="99"/>
    <w:semiHidden/>
    <w:rsid w:val="00B574D2"/>
    <w:rPr>
      <w:rFonts w:ascii="Times New Roman" w:eastAsia="宋体" w:hAnsi="Times New Roman" w:cs="Times New Roman"/>
      <w:szCs w:val="24"/>
    </w:rPr>
  </w:style>
  <w:style w:type="paragraph" w:styleId="a6">
    <w:name w:val="annotation subject"/>
    <w:basedOn w:val="a4"/>
    <w:next w:val="a4"/>
    <w:link w:val="a7"/>
    <w:uiPriority w:val="99"/>
    <w:semiHidden/>
    <w:unhideWhenUsed/>
    <w:rsid w:val="00B574D2"/>
    <w:rPr>
      <w:b/>
      <w:bCs/>
    </w:rPr>
  </w:style>
  <w:style w:type="character" w:customStyle="1" w:styleId="a7">
    <w:name w:val="批注主题 字符"/>
    <w:basedOn w:val="a5"/>
    <w:link w:val="a6"/>
    <w:uiPriority w:val="99"/>
    <w:semiHidden/>
    <w:rsid w:val="00B574D2"/>
    <w:rPr>
      <w:rFonts w:ascii="Times New Roman" w:eastAsia="宋体" w:hAnsi="Times New Roman" w:cs="Times New Roman"/>
      <w:b/>
      <w:bCs/>
      <w:szCs w:val="24"/>
    </w:rPr>
  </w:style>
  <w:style w:type="paragraph" w:styleId="a8">
    <w:name w:val="Balloon Text"/>
    <w:basedOn w:val="a"/>
    <w:link w:val="a9"/>
    <w:uiPriority w:val="99"/>
    <w:semiHidden/>
    <w:unhideWhenUsed/>
    <w:rsid w:val="00B574D2"/>
    <w:rPr>
      <w:sz w:val="18"/>
      <w:szCs w:val="18"/>
    </w:rPr>
  </w:style>
  <w:style w:type="character" w:customStyle="1" w:styleId="a9">
    <w:name w:val="批注框文本 字符"/>
    <w:basedOn w:val="a0"/>
    <w:link w:val="a8"/>
    <w:uiPriority w:val="99"/>
    <w:semiHidden/>
    <w:rsid w:val="00B574D2"/>
    <w:rPr>
      <w:rFonts w:ascii="Times New Roman" w:eastAsia="宋体" w:hAnsi="Times New Roman" w:cs="Times New Roman"/>
      <w:sz w:val="18"/>
      <w:szCs w:val="18"/>
    </w:rPr>
  </w:style>
  <w:style w:type="paragraph" w:styleId="aa">
    <w:name w:val="header"/>
    <w:basedOn w:val="a"/>
    <w:link w:val="ab"/>
    <w:uiPriority w:val="99"/>
    <w:unhideWhenUsed/>
    <w:rsid w:val="00D03DB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D03DB6"/>
    <w:rPr>
      <w:rFonts w:ascii="Times New Roman" w:eastAsia="宋体" w:hAnsi="Times New Roman" w:cs="Times New Roman"/>
      <w:sz w:val="18"/>
      <w:szCs w:val="18"/>
    </w:rPr>
  </w:style>
  <w:style w:type="paragraph" w:styleId="ac">
    <w:name w:val="footer"/>
    <w:basedOn w:val="a"/>
    <w:link w:val="ad"/>
    <w:uiPriority w:val="99"/>
    <w:unhideWhenUsed/>
    <w:rsid w:val="00D03DB6"/>
    <w:pPr>
      <w:tabs>
        <w:tab w:val="center" w:pos="4153"/>
        <w:tab w:val="right" w:pos="8306"/>
      </w:tabs>
      <w:snapToGrid w:val="0"/>
    </w:pPr>
    <w:rPr>
      <w:sz w:val="18"/>
      <w:szCs w:val="18"/>
    </w:rPr>
  </w:style>
  <w:style w:type="character" w:customStyle="1" w:styleId="ad">
    <w:name w:val="页脚 字符"/>
    <w:basedOn w:val="a0"/>
    <w:link w:val="ac"/>
    <w:uiPriority w:val="99"/>
    <w:rsid w:val="00D03DB6"/>
    <w:rPr>
      <w:rFonts w:ascii="Times New Roman" w:eastAsia="宋体" w:hAnsi="Times New Roman" w:cs="Times New Roman"/>
      <w:sz w:val="18"/>
      <w:szCs w:val="18"/>
    </w:rPr>
  </w:style>
  <w:style w:type="paragraph" w:styleId="ae">
    <w:name w:val="Revision"/>
    <w:hidden/>
    <w:uiPriority w:val="99"/>
    <w:semiHidden/>
    <w:rsid w:val="00BD329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聪 段</cp:lastModifiedBy>
  <cp:revision>43</cp:revision>
  <dcterms:created xsi:type="dcterms:W3CDTF">2025-02-28T07:22:00Z</dcterms:created>
  <dcterms:modified xsi:type="dcterms:W3CDTF">2025-03-24T12:10:00Z</dcterms:modified>
</cp:coreProperties>
</file>