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6B" w:rsidRPr="00B93CD7" w:rsidRDefault="0057796B" w:rsidP="0057796B">
      <w:pPr>
        <w:jc w:val="center"/>
        <w:rPr>
          <w:rFonts w:eastAsia="方正小标宋简体"/>
          <w:sz w:val="44"/>
          <w:szCs w:val="44"/>
        </w:rPr>
      </w:pPr>
      <w:bookmarkStart w:id="0" w:name="_Toc179289971"/>
      <w:bookmarkStart w:id="1" w:name="_GoBack"/>
      <w:r w:rsidRPr="00B93CD7">
        <w:rPr>
          <w:rStyle w:val="1Char"/>
          <w:rFonts w:eastAsia="方正小标宋简体"/>
        </w:rPr>
        <w:t>兽药安全药理学研究技术指导原则</w:t>
      </w:r>
      <w:bookmarkEnd w:id="0"/>
    </w:p>
    <w:p w:rsidR="0057796B" w:rsidRPr="00B93CD7" w:rsidRDefault="0057796B" w:rsidP="0057796B">
      <w:pPr>
        <w:adjustRightInd w:val="0"/>
        <w:snapToGrid w:val="0"/>
        <w:spacing w:line="360" w:lineRule="auto"/>
        <w:ind w:firstLineChars="200" w:firstLine="560"/>
        <w:rPr>
          <w:rFonts w:eastAsia="黑体"/>
          <w:bCs/>
          <w:sz w:val="28"/>
          <w:szCs w:val="28"/>
        </w:rPr>
      </w:pPr>
      <w:r w:rsidRPr="00B93CD7">
        <w:rPr>
          <w:rFonts w:eastAsia="黑体"/>
          <w:sz w:val="28"/>
          <w:szCs w:val="28"/>
        </w:rPr>
        <w:t>一、</w:t>
      </w:r>
      <w:r w:rsidRPr="00B93CD7">
        <w:rPr>
          <w:rFonts w:eastAsia="黑体"/>
          <w:bCs/>
          <w:sz w:val="28"/>
          <w:szCs w:val="28"/>
        </w:rPr>
        <w:t>概述</w:t>
      </w:r>
    </w:p>
    <w:p w:rsidR="0057796B" w:rsidRPr="00B93CD7" w:rsidRDefault="0057796B" w:rsidP="0057796B">
      <w:pPr>
        <w:adjustRightInd w:val="0"/>
        <w:snapToGrid w:val="0"/>
        <w:spacing w:line="360" w:lineRule="auto"/>
        <w:ind w:firstLineChars="200" w:firstLine="480"/>
        <w:rPr>
          <w:rFonts w:eastAsia="黑体"/>
          <w:bCs/>
          <w:sz w:val="24"/>
        </w:rPr>
      </w:pPr>
      <w:r w:rsidRPr="00B93CD7">
        <w:rPr>
          <w:rFonts w:eastAsia="黑体"/>
          <w:bCs/>
          <w:sz w:val="24"/>
        </w:rPr>
        <w:t>（一）目的</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安全药理学（</w:t>
      </w:r>
      <w:r w:rsidRPr="00B93CD7">
        <w:rPr>
          <w:rFonts w:eastAsiaTheme="minorEastAsia"/>
          <w:sz w:val="24"/>
        </w:rPr>
        <w:t>Safety Pharmacology</w:t>
      </w:r>
      <w:r w:rsidRPr="00B93CD7">
        <w:rPr>
          <w:rFonts w:eastAsiaTheme="minorEastAsia"/>
          <w:sz w:val="24"/>
        </w:rPr>
        <w:t>）主要是研究兽药在治疗范围内或治疗范围以上的剂量时，潜在的不期望出现的对生理功能的不良影响，即观察兽药对中枢神经系统、心血管系统和呼吸系统的影响。根据需要进行</w:t>
      </w:r>
      <w:r w:rsidRPr="00B93CD7">
        <w:rPr>
          <w:rFonts w:eastAsiaTheme="minorEastAsia"/>
          <w:bCs/>
          <w:sz w:val="24"/>
        </w:rPr>
        <w:t>追加和</w:t>
      </w:r>
      <w:r w:rsidRPr="00B93CD7">
        <w:rPr>
          <w:rFonts w:eastAsiaTheme="minorEastAsia"/>
          <w:bCs/>
          <w:sz w:val="24"/>
        </w:rPr>
        <w:t>/</w:t>
      </w:r>
      <w:r w:rsidRPr="00B93CD7">
        <w:rPr>
          <w:rFonts w:eastAsiaTheme="minorEastAsia"/>
          <w:bCs/>
          <w:sz w:val="24"/>
        </w:rPr>
        <w:t>或补充</w:t>
      </w:r>
      <w:r w:rsidRPr="00B93CD7">
        <w:rPr>
          <w:rFonts w:eastAsiaTheme="minorEastAsia"/>
          <w:sz w:val="24"/>
        </w:rPr>
        <w:t>的安全药理学研究。</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追加的安全药理学研究（</w:t>
      </w:r>
      <w:r w:rsidRPr="00B93CD7">
        <w:rPr>
          <w:rFonts w:eastAsiaTheme="minorEastAsia"/>
          <w:sz w:val="24"/>
        </w:rPr>
        <w:t>Follow-up Safety Pharmacology Studies</w:t>
      </w:r>
      <w:r w:rsidRPr="00B93CD7">
        <w:rPr>
          <w:rFonts w:eastAsiaTheme="minorEastAsia"/>
          <w:sz w:val="24"/>
        </w:rPr>
        <w:t>）：根据药物的药理作用、化学结构，预期可能出现的不良反应。如果对已有的动物和</w:t>
      </w:r>
      <w:r w:rsidRPr="00B93CD7">
        <w:rPr>
          <w:rFonts w:eastAsiaTheme="minorEastAsia"/>
          <w:sz w:val="24"/>
        </w:rPr>
        <w:t>/</w:t>
      </w:r>
      <w:r w:rsidRPr="00B93CD7">
        <w:rPr>
          <w:rFonts w:eastAsiaTheme="minorEastAsia"/>
          <w:sz w:val="24"/>
        </w:rPr>
        <w:t>或临床试验结果产生怀疑，可能影响靶动物的安全性时，应进行追加的安全药理学研究，即对中枢神经系统、心血管系统和呼吸系统进行深入的研究。</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补充的安全药理学研究（</w:t>
      </w:r>
      <w:r w:rsidRPr="00B93CD7">
        <w:rPr>
          <w:rFonts w:eastAsiaTheme="minorEastAsia"/>
          <w:sz w:val="24"/>
        </w:rPr>
        <w:t>Supplemental Safety Pharmacology Studies</w:t>
      </w:r>
      <w:r w:rsidRPr="00B93CD7">
        <w:rPr>
          <w:rFonts w:eastAsiaTheme="minorEastAsia"/>
          <w:sz w:val="24"/>
        </w:rPr>
        <w:t>）：评价药物对中枢神经系统、心血管系统和呼吸系统以外的器官功能的影响，包括对泌尿系统、自主神经系统、胃肠道系统和其他器官组织的研究。</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安全药理学的研究目的包括以下几个方面：确定药物可能关系到靶动物安全性的非期望药理作用；评价药物在毒理学和</w:t>
      </w:r>
      <w:r w:rsidRPr="00B93CD7">
        <w:rPr>
          <w:rFonts w:eastAsiaTheme="minorEastAsia"/>
          <w:sz w:val="24"/>
        </w:rPr>
        <w:t>/</w:t>
      </w:r>
      <w:r w:rsidRPr="00B93CD7">
        <w:rPr>
          <w:rFonts w:eastAsiaTheme="minorEastAsia"/>
          <w:sz w:val="24"/>
        </w:rPr>
        <w:t>或临床研究中所观察到的药物不良反应和</w:t>
      </w:r>
      <w:r w:rsidRPr="00B93CD7">
        <w:rPr>
          <w:rFonts w:eastAsiaTheme="minorEastAsia"/>
          <w:sz w:val="24"/>
        </w:rPr>
        <w:t>/</w:t>
      </w:r>
      <w:r w:rsidRPr="00B93CD7">
        <w:rPr>
          <w:rFonts w:eastAsiaTheme="minorEastAsia"/>
          <w:sz w:val="24"/>
        </w:rPr>
        <w:t>或病理生理作用；研究所观察到的和</w:t>
      </w:r>
      <w:r w:rsidRPr="00B93CD7">
        <w:rPr>
          <w:rFonts w:eastAsiaTheme="minorEastAsia"/>
          <w:sz w:val="24"/>
        </w:rPr>
        <w:t>/</w:t>
      </w:r>
      <w:r w:rsidRPr="00B93CD7">
        <w:rPr>
          <w:rFonts w:eastAsiaTheme="minorEastAsia"/>
          <w:sz w:val="24"/>
        </w:rPr>
        <w:t>或推测的药物不良反应机制。</w:t>
      </w:r>
    </w:p>
    <w:p w:rsidR="0057796B" w:rsidRPr="00B93CD7" w:rsidRDefault="0057796B" w:rsidP="0057796B">
      <w:pPr>
        <w:adjustRightInd w:val="0"/>
        <w:snapToGrid w:val="0"/>
        <w:spacing w:line="360" w:lineRule="auto"/>
        <w:ind w:firstLineChars="200" w:firstLine="480"/>
        <w:rPr>
          <w:rFonts w:eastAsia="黑体"/>
          <w:bCs/>
          <w:sz w:val="24"/>
        </w:rPr>
      </w:pPr>
      <w:r w:rsidRPr="00B93CD7">
        <w:rPr>
          <w:rFonts w:eastAsia="黑体"/>
          <w:bCs/>
          <w:sz w:val="24"/>
        </w:rPr>
        <w:t>（二）适用范围</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本指导原则适用于兽用化学药物</w:t>
      </w:r>
      <w:r w:rsidR="00654397">
        <w:rPr>
          <w:rFonts w:eastAsiaTheme="minorEastAsia" w:hint="eastAsia"/>
          <w:sz w:val="24"/>
        </w:rPr>
        <w:t>、</w:t>
      </w:r>
      <w:r w:rsidRPr="00B93CD7">
        <w:rPr>
          <w:rFonts w:eastAsiaTheme="minorEastAsia"/>
          <w:sz w:val="24"/>
        </w:rPr>
        <w:t>兽用中药</w:t>
      </w:r>
      <w:r w:rsidR="00BD2BF1">
        <w:rPr>
          <w:rFonts w:eastAsiaTheme="minorEastAsia" w:hint="eastAsia"/>
          <w:sz w:val="24"/>
        </w:rPr>
        <w:t>和兽用</w:t>
      </w:r>
      <w:r w:rsidRPr="00B93CD7">
        <w:rPr>
          <w:rFonts w:eastAsiaTheme="minorEastAsia"/>
          <w:sz w:val="24"/>
        </w:rPr>
        <w:t>天然药物。</w:t>
      </w:r>
    </w:p>
    <w:p w:rsidR="00114342" w:rsidRPr="00471966" w:rsidRDefault="00114342" w:rsidP="00114342">
      <w:pPr>
        <w:autoSpaceDE w:val="0"/>
        <w:autoSpaceDN w:val="0"/>
        <w:spacing w:line="360" w:lineRule="auto"/>
        <w:ind w:firstLineChars="200" w:firstLine="560"/>
        <w:outlineLvl w:val="2"/>
        <w:rPr>
          <w:rFonts w:eastAsia="黑体"/>
          <w:noProof/>
          <w:kern w:val="0"/>
          <w:sz w:val="28"/>
          <w:szCs w:val="28"/>
        </w:rPr>
      </w:pPr>
      <w:bookmarkStart w:id="2" w:name="_Toc145300122"/>
      <w:r w:rsidRPr="00471966">
        <w:rPr>
          <w:rFonts w:eastAsia="黑体" w:hint="eastAsia"/>
          <w:noProof/>
          <w:kern w:val="0"/>
          <w:sz w:val="28"/>
          <w:szCs w:val="28"/>
        </w:rPr>
        <w:t>二、基本原则</w:t>
      </w:r>
      <w:bookmarkEnd w:id="2"/>
    </w:p>
    <w:p w:rsidR="00114342" w:rsidRPr="00471966" w:rsidRDefault="00114342" w:rsidP="00114342">
      <w:pPr>
        <w:autoSpaceDE w:val="0"/>
        <w:autoSpaceDN w:val="0"/>
        <w:spacing w:line="360" w:lineRule="auto"/>
        <w:ind w:firstLineChars="200" w:firstLine="480"/>
        <w:outlineLvl w:val="3"/>
        <w:rPr>
          <w:rFonts w:ascii="黑体" w:eastAsia="黑体" w:hAnsi="黑体"/>
          <w:noProof/>
          <w:kern w:val="0"/>
          <w:sz w:val="24"/>
        </w:rPr>
      </w:pPr>
      <w:bookmarkStart w:id="3" w:name="_Toc145300123"/>
      <w:r w:rsidRPr="00471966">
        <w:rPr>
          <w:rFonts w:ascii="黑体" w:eastAsia="黑体" w:hAnsi="黑体" w:hint="eastAsia"/>
          <w:noProof/>
          <w:kern w:val="0"/>
          <w:sz w:val="24"/>
        </w:rPr>
        <w:t>（一）实验管理</w:t>
      </w:r>
      <w:bookmarkEnd w:id="3"/>
    </w:p>
    <w:p w:rsidR="00114342" w:rsidRPr="00471966" w:rsidRDefault="00114342" w:rsidP="00114342">
      <w:pPr>
        <w:snapToGrid w:val="0"/>
        <w:spacing w:line="360" w:lineRule="auto"/>
        <w:ind w:firstLine="590"/>
        <w:rPr>
          <w:noProof/>
          <w:kern w:val="0"/>
          <w:sz w:val="24"/>
        </w:rPr>
      </w:pPr>
      <w:r w:rsidRPr="00B93CD7">
        <w:rPr>
          <w:rFonts w:eastAsiaTheme="minorEastAsia"/>
          <w:sz w:val="24"/>
        </w:rPr>
        <w:lastRenderedPageBreak/>
        <w:t>安全药理学研究</w:t>
      </w:r>
      <w:r>
        <w:rPr>
          <w:rFonts w:eastAsiaTheme="minorEastAsia" w:hint="eastAsia"/>
          <w:sz w:val="24"/>
        </w:rPr>
        <w:t>中</w:t>
      </w:r>
      <w:r w:rsidRPr="00B93CD7">
        <w:rPr>
          <w:rFonts w:eastAsiaTheme="minorEastAsia"/>
          <w:sz w:val="24"/>
        </w:rPr>
        <w:t>核心组合试验</w:t>
      </w:r>
      <w:r w:rsidRPr="00471966">
        <w:rPr>
          <w:noProof/>
          <w:kern w:val="0"/>
          <w:sz w:val="24"/>
        </w:rPr>
        <w:t>需执行《兽药非临床研究质量管理规范》或《药物非临床研究质量管理规范》。</w:t>
      </w:r>
      <w:r w:rsidRPr="00B93CD7">
        <w:rPr>
          <w:rFonts w:eastAsiaTheme="minorEastAsia"/>
          <w:sz w:val="24"/>
        </w:rPr>
        <w:t>追加的或</w:t>
      </w:r>
      <w:r w:rsidRPr="00B93CD7">
        <w:rPr>
          <w:rFonts w:eastAsiaTheme="minorEastAsia"/>
          <w:sz w:val="24"/>
        </w:rPr>
        <w:t>/</w:t>
      </w:r>
      <w:r w:rsidRPr="00B93CD7">
        <w:rPr>
          <w:rFonts w:eastAsiaTheme="minorEastAsia"/>
          <w:sz w:val="24"/>
        </w:rPr>
        <w:t>和补充的安全药理学研究应尽可能地最大限度遵循兽药</w:t>
      </w:r>
      <w:r w:rsidRPr="00B93CD7">
        <w:rPr>
          <w:rFonts w:eastAsiaTheme="minorEastAsia"/>
          <w:sz w:val="24"/>
        </w:rPr>
        <w:t>GLP</w:t>
      </w:r>
      <w:r>
        <w:rPr>
          <w:rFonts w:eastAsiaTheme="minorEastAsia" w:hint="eastAsia"/>
          <w:sz w:val="24"/>
        </w:rPr>
        <w:t>要求</w:t>
      </w:r>
      <w:r w:rsidRPr="00B93CD7">
        <w:rPr>
          <w:rFonts w:eastAsiaTheme="minorEastAsia"/>
          <w:sz w:val="24"/>
        </w:rPr>
        <w:t>。</w:t>
      </w:r>
    </w:p>
    <w:p w:rsidR="00114342" w:rsidRPr="00471966" w:rsidRDefault="00114342" w:rsidP="00114342">
      <w:pPr>
        <w:autoSpaceDE w:val="0"/>
        <w:autoSpaceDN w:val="0"/>
        <w:spacing w:line="360" w:lineRule="auto"/>
        <w:ind w:firstLineChars="200" w:firstLine="480"/>
        <w:outlineLvl w:val="3"/>
        <w:rPr>
          <w:rFonts w:ascii="黑体" w:eastAsia="黑体" w:hAnsi="黑体"/>
          <w:noProof/>
          <w:kern w:val="0"/>
          <w:sz w:val="24"/>
        </w:rPr>
      </w:pPr>
      <w:bookmarkStart w:id="4" w:name="_Toc145300124"/>
      <w:r w:rsidRPr="00471966">
        <w:rPr>
          <w:rFonts w:ascii="黑体" w:eastAsia="黑体" w:hAnsi="黑体" w:hint="eastAsia"/>
          <w:noProof/>
          <w:kern w:val="0"/>
          <w:sz w:val="24"/>
        </w:rPr>
        <w:t>（二）具体问题具体分析</w:t>
      </w:r>
      <w:bookmarkEnd w:id="4"/>
    </w:p>
    <w:p w:rsidR="00114342" w:rsidRDefault="00114342" w:rsidP="008D1932">
      <w:pPr>
        <w:snapToGrid w:val="0"/>
        <w:spacing w:line="360" w:lineRule="auto"/>
        <w:ind w:firstLine="590"/>
        <w:rPr>
          <w:noProof/>
          <w:kern w:val="0"/>
          <w:sz w:val="24"/>
        </w:rPr>
      </w:pPr>
      <w:r w:rsidRPr="00B93CD7">
        <w:rPr>
          <w:rFonts w:eastAsiaTheme="minorEastAsia"/>
          <w:sz w:val="24"/>
        </w:rPr>
        <w:t>安全药理学</w:t>
      </w:r>
      <w:r w:rsidRPr="00471966">
        <w:rPr>
          <w:noProof/>
          <w:kern w:val="0"/>
          <w:sz w:val="24"/>
        </w:rPr>
        <w:t>试验的设计，应在对受试物认知的基础上，遵循</w:t>
      </w:r>
      <w:r w:rsidRPr="00471966">
        <w:rPr>
          <w:noProof/>
          <w:kern w:val="0"/>
          <w:sz w:val="24"/>
        </w:rPr>
        <w:t>“</w:t>
      </w:r>
      <w:r w:rsidRPr="00471966">
        <w:rPr>
          <w:noProof/>
          <w:kern w:val="0"/>
          <w:sz w:val="24"/>
        </w:rPr>
        <w:t>具体问题具体分析</w:t>
      </w:r>
      <w:r w:rsidRPr="00471966">
        <w:rPr>
          <w:noProof/>
          <w:kern w:val="0"/>
          <w:sz w:val="24"/>
        </w:rPr>
        <w:t>”</w:t>
      </w:r>
      <w:r w:rsidRPr="00471966">
        <w:rPr>
          <w:noProof/>
          <w:kern w:val="0"/>
          <w:sz w:val="24"/>
        </w:rPr>
        <w:t>的原则。应根据受试物的结构特点、理化性质、已有的药理毒理研究信息、适应证和适用靶动物特点、临床用药方案等选择合理的试验方法，设计适宜的试验方案，并综合上述信息对试验结果进行全面分析评价。</w:t>
      </w:r>
    </w:p>
    <w:p w:rsidR="00114342" w:rsidRPr="00B93CD7" w:rsidRDefault="00114342" w:rsidP="00114342">
      <w:pPr>
        <w:adjustRightInd w:val="0"/>
        <w:snapToGrid w:val="0"/>
        <w:spacing w:line="360" w:lineRule="auto"/>
        <w:ind w:firstLineChars="200" w:firstLine="480"/>
        <w:rPr>
          <w:rFonts w:eastAsia="黑体"/>
          <w:bCs/>
          <w:sz w:val="24"/>
        </w:rPr>
      </w:pPr>
      <w:r w:rsidRPr="00B93CD7">
        <w:rPr>
          <w:rFonts w:eastAsia="黑体"/>
          <w:bCs/>
          <w:sz w:val="24"/>
        </w:rPr>
        <w:t>（</w:t>
      </w:r>
      <w:r>
        <w:rPr>
          <w:rFonts w:eastAsia="黑体" w:hint="eastAsia"/>
          <w:bCs/>
          <w:sz w:val="24"/>
        </w:rPr>
        <w:t>三</w:t>
      </w:r>
      <w:r w:rsidRPr="00B93CD7">
        <w:rPr>
          <w:rFonts w:eastAsia="黑体"/>
          <w:bCs/>
          <w:sz w:val="24"/>
        </w:rPr>
        <w:t>）研究的阶段性</w:t>
      </w:r>
    </w:p>
    <w:p w:rsidR="00114342" w:rsidRPr="00114342" w:rsidRDefault="00114342">
      <w:pPr>
        <w:adjustRightInd w:val="0"/>
        <w:snapToGrid w:val="0"/>
        <w:spacing w:line="360" w:lineRule="auto"/>
        <w:ind w:firstLineChars="200" w:firstLine="480"/>
        <w:rPr>
          <w:noProof/>
          <w:kern w:val="0"/>
          <w:sz w:val="24"/>
        </w:rPr>
      </w:pPr>
      <w:r w:rsidRPr="00B93CD7">
        <w:rPr>
          <w:rFonts w:eastAsiaTheme="minorEastAsia"/>
          <w:sz w:val="24"/>
        </w:rPr>
        <w:t>安全药理学研究贯穿在新兽药研究全过程中，可分阶段进行。在药物进入临床试验前，应完成对中枢神经系统、心血管系统和呼吸系统影响的核心组合（</w:t>
      </w:r>
      <w:r w:rsidRPr="00B93CD7">
        <w:rPr>
          <w:rFonts w:eastAsiaTheme="minorEastAsia"/>
          <w:sz w:val="24"/>
        </w:rPr>
        <w:t>Core Battery</w:t>
      </w:r>
      <w:r w:rsidRPr="00B93CD7">
        <w:rPr>
          <w:rFonts w:eastAsiaTheme="minorEastAsia"/>
          <w:sz w:val="24"/>
        </w:rPr>
        <w:t>）试验的研究。追加和</w:t>
      </w:r>
      <w:r w:rsidRPr="00B93CD7">
        <w:rPr>
          <w:rFonts w:eastAsiaTheme="minorEastAsia"/>
          <w:sz w:val="24"/>
        </w:rPr>
        <w:t>/</w:t>
      </w:r>
      <w:r w:rsidRPr="00B93CD7">
        <w:rPr>
          <w:rFonts w:eastAsiaTheme="minorEastAsia"/>
          <w:sz w:val="24"/>
        </w:rPr>
        <w:t>或补充的安全药理学研究视具体情况，可在申报新兽药前完成。</w:t>
      </w:r>
    </w:p>
    <w:p w:rsidR="0057796B" w:rsidRPr="00B93CD7" w:rsidRDefault="00114342" w:rsidP="0057796B">
      <w:pPr>
        <w:adjustRightInd w:val="0"/>
        <w:snapToGrid w:val="0"/>
        <w:spacing w:line="360" w:lineRule="auto"/>
        <w:ind w:firstLineChars="200" w:firstLine="560"/>
        <w:rPr>
          <w:rFonts w:eastAsia="黑体"/>
          <w:sz w:val="28"/>
          <w:szCs w:val="28"/>
        </w:rPr>
      </w:pPr>
      <w:r>
        <w:rPr>
          <w:rFonts w:eastAsia="黑体" w:hint="eastAsia"/>
          <w:sz w:val="28"/>
          <w:szCs w:val="28"/>
        </w:rPr>
        <w:t>三</w:t>
      </w:r>
      <w:r w:rsidR="0057796B" w:rsidRPr="00B93CD7">
        <w:rPr>
          <w:rFonts w:eastAsia="黑体"/>
          <w:sz w:val="28"/>
          <w:szCs w:val="28"/>
        </w:rPr>
        <w:t>、试验设计</w:t>
      </w:r>
    </w:p>
    <w:p w:rsidR="0057796B" w:rsidRPr="00B93CD7" w:rsidRDefault="0057796B" w:rsidP="0057796B">
      <w:pPr>
        <w:adjustRightInd w:val="0"/>
        <w:snapToGrid w:val="0"/>
        <w:spacing w:line="360" w:lineRule="auto"/>
        <w:ind w:firstLineChars="200" w:firstLine="480"/>
        <w:rPr>
          <w:rFonts w:eastAsia="黑体"/>
          <w:bCs/>
          <w:sz w:val="24"/>
        </w:rPr>
      </w:pPr>
      <w:r w:rsidRPr="00B93CD7">
        <w:rPr>
          <w:rFonts w:eastAsia="黑体"/>
          <w:bCs/>
          <w:sz w:val="24"/>
        </w:rPr>
        <w:t>（</w:t>
      </w:r>
      <w:r w:rsidR="00114342">
        <w:rPr>
          <w:rFonts w:eastAsia="黑体" w:hint="eastAsia"/>
          <w:bCs/>
          <w:sz w:val="24"/>
        </w:rPr>
        <w:t>一</w:t>
      </w:r>
      <w:r w:rsidRPr="00B93CD7">
        <w:rPr>
          <w:rFonts w:eastAsia="黑体"/>
          <w:bCs/>
          <w:sz w:val="24"/>
        </w:rPr>
        <w:t>）试验材料</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1</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受试物</w:t>
      </w:r>
      <w:r w:rsidRPr="00B93CD7">
        <w:rPr>
          <w:rFonts w:eastAsiaTheme="minorEastAsia"/>
          <w:sz w:val="24"/>
        </w:rPr>
        <w:t xml:space="preserve"> </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化学药物</w:t>
      </w:r>
      <w:r w:rsidR="008D5B02">
        <w:rPr>
          <w:rFonts w:eastAsiaTheme="minorEastAsia" w:hint="eastAsia"/>
          <w:sz w:val="24"/>
        </w:rPr>
        <w:t>：</w:t>
      </w:r>
      <w:r w:rsidRPr="00B93CD7">
        <w:rPr>
          <w:rFonts w:eastAsiaTheme="minorEastAsia"/>
          <w:sz w:val="24"/>
        </w:rPr>
        <w:t>受试物应采用工艺相对稳定、纯度和杂质含量能反映临床试验拟用样品和</w:t>
      </w:r>
      <w:r w:rsidRPr="00B93CD7">
        <w:rPr>
          <w:rFonts w:eastAsiaTheme="minorEastAsia"/>
          <w:sz w:val="24"/>
        </w:rPr>
        <w:t>/</w:t>
      </w:r>
      <w:r w:rsidRPr="00B93CD7">
        <w:rPr>
          <w:rFonts w:eastAsiaTheme="minorEastAsia"/>
          <w:sz w:val="24"/>
        </w:rPr>
        <w:t>或上市样品质量和安全性的样品。</w:t>
      </w:r>
      <w:r w:rsidR="003F6324" w:rsidRPr="00B93CD7">
        <w:rPr>
          <w:rFonts w:eastAsiaTheme="minorEastAsia"/>
          <w:sz w:val="24"/>
        </w:rPr>
        <w:t>应注明</w:t>
      </w:r>
      <w:r w:rsidRPr="00B93CD7">
        <w:rPr>
          <w:rFonts w:eastAsiaTheme="minorEastAsia"/>
          <w:sz w:val="24"/>
        </w:rPr>
        <w:t>受试物名称、来源、批号、生产日期、含量（或规格）、保存条件、有效期及配制方法等，并提供质量检验报告。试验中所用溶媒和</w:t>
      </w:r>
      <w:r w:rsidRPr="00B93CD7">
        <w:rPr>
          <w:rFonts w:eastAsiaTheme="minorEastAsia"/>
          <w:sz w:val="24"/>
        </w:rPr>
        <w:t>/</w:t>
      </w:r>
      <w:r w:rsidRPr="00B93CD7">
        <w:rPr>
          <w:rFonts w:eastAsiaTheme="minorEastAsia"/>
          <w:sz w:val="24"/>
        </w:rPr>
        <w:t>或辅料应标明名称、标准、批号、有效期、规格和生产单位等，并符合试验要求。</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中药、天然药物：受试物应采用能充分代表临床试验拟用样品和</w:t>
      </w:r>
      <w:r w:rsidRPr="00B93CD7">
        <w:rPr>
          <w:rFonts w:eastAsiaTheme="minorEastAsia"/>
          <w:sz w:val="24"/>
        </w:rPr>
        <w:t>/</w:t>
      </w:r>
      <w:r w:rsidRPr="00B93CD7">
        <w:rPr>
          <w:rFonts w:eastAsiaTheme="minorEastAsia"/>
          <w:sz w:val="24"/>
        </w:rPr>
        <w:t>或上市样品质量和安全性的样品。应采用工艺路线及关键工艺参数确定后的工艺制备，一般应为中试或中试以上规模的样品，否则应有充分的理由。应注明受试物的名称、</w:t>
      </w:r>
      <w:r w:rsidRPr="00B93CD7">
        <w:rPr>
          <w:rFonts w:eastAsiaTheme="minorEastAsia"/>
          <w:sz w:val="24"/>
        </w:rPr>
        <w:lastRenderedPageBreak/>
        <w:t>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w:t>
      </w:r>
      <w:r w:rsidRPr="00B93CD7">
        <w:rPr>
          <w:rFonts w:eastAsiaTheme="minorEastAsia"/>
          <w:sz w:val="24"/>
        </w:rPr>
        <w:t>/</w:t>
      </w:r>
      <w:r w:rsidRPr="00B93CD7">
        <w:rPr>
          <w:rFonts w:eastAsiaTheme="minorEastAsia"/>
          <w:sz w:val="24"/>
        </w:rPr>
        <w:t>或辅料应标明名称、标准、批号、有效期、规格及生产单位。</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在药物研发的过程中，若受试物的工艺发生</w:t>
      </w:r>
      <w:r w:rsidR="003F6324" w:rsidRPr="00B93CD7">
        <w:rPr>
          <w:rFonts w:eastAsiaTheme="minorEastAsia"/>
          <w:sz w:val="24"/>
        </w:rPr>
        <w:t>变化</w:t>
      </w:r>
      <w:r w:rsidRPr="00B93CD7">
        <w:rPr>
          <w:rFonts w:eastAsiaTheme="minorEastAsia"/>
          <w:sz w:val="24"/>
        </w:rPr>
        <w:t>可能影响其安全性的，应进行相应的安全性研究。</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化学药物试验过程中应进行受试物样品分析，并提供样品分析报告。成分基本清楚的中药、天然药物也应进行受试物样品分析。</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2</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生物材料</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生物材料有以下几种：整体动物、离体器官及组织、体外培养的细胞、细胞片段、细胞器、受体、离子通道和酶等。整体动物常用小鼠、大鼠、豚鼠、家兔、犬等。动物选择应与试验方法相匹配，同时还应注意品系、性别及年龄等因素。生物材料选择应注意敏感性、重现性和可行性，以及与拟用靶动物的相关性等因素。体内研究建议尽量采用清醒动物。如果使用麻醉动物，应注意麻醉药物的选择和麻醉深度的控制。</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实验动物应符合国家对相应等级动物的质量规定要求，并具有实验动物质量合格证明。</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3</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样本量</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试验组的组数及每组动物数的设定，应以能够科学合理地解释所获得的试验结果，恰当地反映有生物学意义的作用，并符合统计学要求为原则。小动物每组一般不少于</w:t>
      </w:r>
      <w:r w:rsidRPr="00B93CD7">
        <w:rPr>
          <w:rFonts w:eastAsiaTheme="minorEastAsia"/>
          <w:sz w:val="24"/>
        </w:rPr>
        <w:t>10</w:t>
      </w:r>
      <w:r w:rsidRPr="00B93CD7">
        <w:rPr>
          <w:rFonts w:eastAsiaTheme="minorEastAsia"/>
          <w:sz w:val="24"/>
        </w:rPr>
        <w:t>只，大动物每组一般不少于</w:t>
      </w:r>
      <w:r w:rsidRPr="00B93CD7">
        <w:rPr>
          <w:rFonts w:eastAsiaTheme="minorEastAsia"/>
          <w:sz w:val="24"/>
        </w:rPr>
        <w:t>6</w:t>
      </w:r>
      <w:r w:rsidRPr="00B93CD7">
        <w:rPr>
          <w:rFonts w:eastAsiaTheme="minorEastAsia"/>
          <w:sz w:val="24"/>
        </w:rPr>
        <w:t>只。动物一般雌雄各半。</w:t>
      </w:r>
    </w:p>
    <w:p w:rsidR="0057796B" w:rsidRPr="00B93CD7" w:rsidRDefault="0057796B" w:rsidP="0057796B">
      <w:pPr>
        <w:adjustRightInd w:val="0"/>
        <w:snapToGrid w:val="0"/>
        <w:spacing w:line="360" w:lineRule="auto"/>
        <w:ind w:firstLineChars="200" w:firstLine="480"/>
        <w:rPr>
          <w:rFonts w:eastAsia="黑体"/>
          <w:bCs/>
          <w:sz w:val="24"/>
        </w:rPr>
      </w:pPr>
      <w:r w:rsidRPr="00B93CD7">
        <w:rPr>
          <w:rFonts w:eastAsia="黑体"/>
          <w:bCs/>
          <w:sz w:val="24"/>
        </w:rPr>
        <w:t>（</w:t>
      </w:r>
      <w:r w:rsidR="00114342">
        <w:rPr>
          <w:rFonts w:eastAsia="黑体" w:hint="eastAsia"/>
          <w:bCs/>
          <w:sz w:val="24"/>
        </w:rPr>
        <w:t>二</w:t>
      </w:r>
      <w:r w:rsidRPr="00B93CD7">
        <w:rPr>
          <w:rFonts w:eastAsia="黑体"/>
          <w:bCs/>
          <w:sz w:val="24"/>
        </w:rPr>
        <w:t>）试验方法</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lastRenderedPageBreak/>
        <w:t>应根据药物的特点和临床使用的目的，合理地进行试验设计。选用适当的经验证的方法，包括科学而有效的新技术和新方法。某些安全药理学研究可根据药效反应的模型、药代动力学的特征、实验动物的种属等来选择试验方法。试验可采用体内和</w:t>
      </w:r>
      <w:r w:rsidRPr="00B93CD7">
        <w:rPr>
          <w:rFonts w:eastAsiaTheme="minorEastAsia"/>
          <w:sz w:val="24"/>
        </w:rPr>
        <w:t>/</w:t>
      </w:r>
      <w:r w:rsidRPr="00B93CD7">
        <w:rPr>
          <w:rFonts w:eastAsiaTheme="minorEastAsia"/>
          <w:sz w:val="24"/>
        </w:rPr>
        <w:t>或体外的方法。</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1</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剂量</w:t>
      </w:r>
    </w:p>
    <w:p w:rsidR="0057796B" w:rsidRPr="00B93CD7" w:rsidRDefault="0057796B" w:rsidP="0057796B">
      <w:pPr>
        <w:adjustRightInd w:val="0"/>
        <w:snapToGrid w:val="0"/>
        <w:spacing w:line="360" w:lineRule="auto"/>
        <w:ind w:firstLineChars="200" w:firstLine="480"/>
        <w:rPr>
          <w:rFonts w:eastAsia="黑体"/>
          <w:bCs/>
          <w:sz w:val="24"/>
        </w:rPr>
      </w:pPr>
      <w:r w:rsidRPr="00B93CD7">
        <w:rPr>
          <w:rFonts w:eastAsiaTheme="minorEastAsia"/>
          <w:sz w:val="24"/>
        </w:rPr>
        <w:t>体内安全药理学试验要对所观察到的不良反应的剂量反应关系进行研究，如果可能也应对时间效应关系进行研究。一般情况下，安全药理学试验应设计</w:t>
      </w:r>
      <w:r w:rsidRPr="00B93CD7">
        <w:rPr>
          <w:rFonts w:eastAsiaTheme="minorEastAsia"/>
          <w:sz w:val="24"/>
        </w:rPr>
        <w:t>3</w:t>
      </w:r>
      <w:r w:rsidRPr="00B93CD7">
        <w:rPr>
          <w:rFonts w:eastAsiaTheme="minorEastAsia"/>
          <w:sz w:val="24"/>
        </w:rPr>
        <w:t>个剂量，产生不良反应的剂量应与动物产生主要药效学的剂量或靶动物拟用的有效剂量进行比较。由于不同种属的动物对药效学反应的敏感性存在种属差异，因此安全药理学试验的剂量应包括或超过主要药效学的有效剂量或治疗范围。如果安全药理学研究中缺乏不良反应的结果，试验的最高剂量应设定为相似给药途径和给药时间的其他毒理试验中产生毒性反应的剂量。体外研究应确定受试物的浓度</w:t>
      </w:r>
      <w:r w:rsidRPr="00B93CD7">
        <w:rPr>
          <w:rFonts w:eastAsiaTheme="minorEastAsia"/>
          <w:sz w:val="24"/>
        </w:rPr>
        <w:t>-</w:t>
      </w:r>
      <w:r w:rsidRPr="00B93CD7">
        <w:rPr>
          <w:rFonts w:eastAsiaTheme="minorEastAsia"/>
          <w:sz w:val="24"/>
        </w:rPr>
        <w:t>效应关系。若无明显效应时，应对浓度选择的范围进行说明。</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黑体" w:hint="eastAsia"/>
          <w:bCs/>
          <w:sz w:val="24"/>
        </w:rPr>
        <w:t>2</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对照</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一般可选用溶媒和</w:t>
      </w:r>
      <w:r w:rsidRPr="00B93CD7">
        <w:rPr>
          <w:rFonts w:eastAsiaTheme="minorEastAsia"/>
          <w:sz w:val="24"/>
        </w:rPr>
        <w:t>/</w:t>
      </w:r>
      <w:r w:rsidRPr="00B93CD7">
        <w:rPr>
          <w:rFonts w:eastAsiaTheme="minorEastAsia"/>
          <w:sz w:val="24"/>
        </w:rPr>
        <w:t>或辅料进行阴性对照。如为了说明受试物的特性与已知药物的异同，也可选用阳性对照药。</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3</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给药途径</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整体动物试验，首先应考虑与临床拟用途径一致，可以考虑充分暴露的给药途径。对于在动物试验中难以实施的特殊的临床给药途径，可根据受试物的特点选择，并说明理由。</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4</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给药次数</w:t>
      </w:r>
    </w:p>
    <w:p w:rsidR="0057796B"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lastRenderedPageBreak/>
        <w:t>一般采用单次给药。但是若主要药效学研究表明该受试物在给药一段时间后才能起效，或者重复给药的非临床研究和</w:t>
      </w:r>
      <w:r w:rsidRPr="00B93CD7">
        <w:rPr>
          <w:rFonts w:eastAsiaTheme="minorEastAsia"/>
          <w:sz w:val="24"/>
        </w:rPr>
        <w:t>/</w:t>
      </w:r>
      <w:r w:rsidRPr="00B93CD7">
        <w:rPr>
          <w:rFonts w:eastAsiaTheme="minorEastAsia"/>
          <w:sz w:val="24"/>
        </w:rPr>
        <w:t>或临床研究结果出现安全性问题时，应根据具体情况合理设计给药次数。</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5</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观察时间</w:t>
      </w:r>
    </w:p>
    <w:p w:rsidR="008D5B02"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结合受试物的药效学和药代动力学特性、受试动物、临床研究方案等因素选择观察时间点和观察时间。</w:t>
      </w:r>
    </w:p>
    <w:p w:rsidR="0057796B" w:rsidRPr="00B93CD7" w:rsidRDefault="0057796B" w:rsidP="0057796B">
      <w:pPr>
        <w:adjustRightInd w:val="0"/>
        <w:snapToGrid w:val="0"/>
        <w:spacing w:line="360" w:lineRule="auto"/>
        <w:ind w:firstLineChars="200" w:firstLine="480"/>
        <w:rPr>
          <w:rFonts w:eastAsia="黑体"/>
          <w:bCs/>
          <w:sz w:val="24"/>
        </w:rPr>
      </w:pPr>
      <w:r w:rsidRPr="00B93CD7">
        <w:rPr>
          <w:rFonts w:eastAsia="黑体"/>
          <w:bCs/>
          <w:sz w:val="24"/>
        </w:rPr>
        <w:t>（</w:t>
      </w:r>
      <w:r w:rsidR="00114342">
        <w:rPr>
          <w:rFonts w:eastAsia="黑体" w:hint="eastAsia"/>
          <w:bCs/>
          <w:sz w:val="24"/>
        </w:rPr>
        <w:t>三</w:t>
      </w:r>
      <w:r w:rsidRPr="00B93CD7">
        <w:rPr>
          <w:rFonts w:eastAsia="黑体"/>
          <w:bCs/>
          <w:sz w:val="24"/>
        </w:rPr>
        <w:t>）主要研究内容</w:t>
      </w:r>
      <w:r w:rsidRPr="00B93CD7">
        <w:rPr>
          <w:rFonts w:eastAsia="黑体"/>
          <w:bCs/>
          <w:sz w:val="24"/>
        </w:rPr>
        <w:t xml:space="preserve"> </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1</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核心组合试验：安全药理学的核心组合试验的目的是研究受试物对重要生命功能的影响。中枢神经系统、心血管系统、呼吸系统通常作为重要器官系统考虑，也就是核心组合试验要研究的内容。根据科学合理的原则，在某些情况下，可增加或减少部分试验内容，但应说明理由。</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w:t>
      </w:r>
      <w:r w:rsidRPr="00B93CD7">
        <w:rPr>
          <w:rFonts w:eastAsiaTheme="minorEastAsia"/>
          <w:sz w:val="24"/>
        </w:rPr>
        <w:t>中枢神经系统</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定性和定量评价给药后动物的运动功能、行为改变、协调功能、感觉</w:t>
      </w:r>
      <w:r w:rsidRPr="00B93CD7">
        <w:rPr>
          <w:rFonts w:eastAsiaTheme="minorEastAsia"/>
          <w:sz w:val="24"/>
        </w:rPr>
        <w:t>/</w:t>
      </w:r>
      <w:r w:rsidRPr="00B93CD7">
        <w:rPr>
          <w:rFonts w:eastAsiaTheme="minorEastAsia"/>
          <w:sz w:val="24"/>
        </w:rPr>
        <w:t>运动反射和体温的变化等，以确定药物对中枢神经系统的影响。可进行动物的功能组合试验。</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w:t>
      </w:r>
      <w:r w:rsidRPr="00B93CD7">
        <w:rPr>
          <w:rFonts w:eastAsiaTheme="minorEastAsia"/>
          <w:sz w:val="24"/>
        </w:rPr>
        <w:t>心血管系统</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测定给药前后血压（包括收缩压、舒张压和平均压等）、心电图（包括</w:t>
      </w:r>
      <w:r w:rsidRPr="00B93CD7">
        <w:rPr>
          <w:rFonts w:eastAsiaTheme="minorEastAsia"/>
          <w:sz w:val="24"/>
        </w:rPr>
        <w:t>QT</w:t>
      </w:r>
      <w:r w:rsidRPr="00B93CD7">
        <w:rPr>
          <w:rFonts w:eastAsiaTheme="minorEastAsia"/>
          <w:sz w:val="24"/>
        </w:rPr>
        <w:t>间期、</w:t>
      </w:r>
      <w:r w:rsidRPr="00B93CD7">
        <w:rPr>
          <w:rFonts w:eastAsiaTheme="minorEastAsia"/>
          <w:sz w:val="24"/>
        </w:rPr>
        <w:t>PR</w:t>
      </w:r>
      <w:r w:rsidRPr="00B93CD7">
        <w:rPr>
          <w:rFonts w:eastAsiaTheme="minorEastAsia"/>
          <w:sz w:val="24"/>
        </w:rPr>
        <w:t>间期、</w:t>
      </w:r>
      <w:r w:rsidRPr="00B93CD7">
        <w:rPr>
          <w:rFonts w:eastAsiaTheme="minorEastAsia"/>
          <w:sz w:val="24"/>
        </w:rPr>
        <w:t>QRS</w:t>
      </w:r>
      <w:r w:rsidRPr="00B93CD7">
        <w:rPr>
          <w:rFonts w:eastAsiaTheme="minorEastAsia"/>
          <w:sz w:val="24"/>
        </w:rPr>
        <w:t>波等）和心率等的变化。建议采用清醒动物进行心血管系统指标的测定（如遥测技术等）。</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如药物从适应症、药理作用或化学结构上属于易于引起靶动物</w:t>
      </w:r>
      <w:r w:rsidRPr="00B93CD7">
        <w:rPr>
          <w:rFonts w:eastAsiaTheme="minorEastAsia"/>
          <w:sz w:val="24"/>
        </w:rPr>
        <w:t>QT</w:t>
      </w:r>
      <w:r w:rsidRPr="00B93CD7">
        <w:rPr>
          <w:rFonts w:eastAsiaTheme="minorEastAsia"/>
          <w:sz w:val="24"/>
        </w:rPr>
        <w:t>间期延长类的化合物，例如：抗组织胺类药物和氟喹诺酮类药物等，应进行深入的试验研究，观察药物对</w:t>
      </w:r>
      <w:r w:rsidRPr="00B93CD7">
        <w:rPr>
          <w:rFonts w:eastAsiaTheme="minorEastAsia"/>
          <w:sz w:val="24"/>
        </w:rPr>
        <w:t>QT</w:t>
      </w:r>
      <w:r w:rsidRPr="00B93CD7">
        <w:rPr>
          <w:rFonts w:eastAsiaTheme="minorEastAsia"/>
          <w:sz w:val="24"/>
        </w:rPr>
        <w:t>间期的影响。对</w:t>
      </w:r>
      <w:r w:rsidRPr="00B93CD7">
        <w:rPr>
          <w:rFonts w:eastAsiaTheme="minorEastAsia"/>
          <w:sz w:val="24"/>
        </w:rPr>
        <w:t>QT</w:t>
      </w:r>
      <w:r w:rsidRPr="00B93CD7">
        <w:rPr>
          <w:rFonts w:eastAsiaTheme="minorEastAsia"/>
          <w:sz w:val="24"/>
        </w:rPr>
        <w:t>的研究</w:t>
      </w:r>
      <w:r w:rsidR="00C931ED">
        <w:rPr>
          <w:rFonts w:eastAsiaTheme="minorEastAsia" w:hint="eastAsia"/>
          <w:sz w:val="24"/>
        </w:rPr>
        <w:t>参考</w:t>
      </w:r>
      <w:r w:rsidRPr="00B93CD7">
        <w:rPr>
          <w:rFonts w:eastAsiaTheme="minorEastAsia"/>
          <w:sz w:val="24"/>
        </w:rPr>
        <w:t>相关指导原则。</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w:t>
      </w:r>
      <w:r w:rsidRPr="00B93CD7">
        <w:rPr>
          <w:rFonts w:eastAsiaTheme="minorEastAsia"/>
          <w:sz w:val="24"/>
        </w:rPr>
        <w:t>呼吸系统</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lastRenderedPageBreak/>
        <w:t>测定给药前后动物的各种呼吸功能指标的变化，如呼吸频率、潮气量、呼吸深度等。</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2</w:t>
      </w:r>
      <w:r w:rsidR="008D5B02">
        <w:rPr>
          <w:rFonts w:eastAsiaTheme="minorEastAsia" w:hint="eastAsia"/>
          <w:sz w:val="24"/>
        </w:rPr>
        <w:t>.</w:t>
      </w:r>
      <w:r w:rsidR="001C1ADC">
        <w:rPr>
          <w:rFonts w:eastAsiaTheme="minorEastAsia"/>
          <w:sz w:val="24"/>
        </w:rPr>
        <w:t xml:space="preserve"> </w:t>
      </w:r>
      <w:r w:rsidRPr="00B93CD7">
        <w:rPr>
          <w:rFonts w:eastAsiaTheme="minorEastAsia"/>
          <w:sz w:val="24"/>
        </w:rPr>
        <w:t>追加和</w:t>
      </w:r>
      <w:r w:rsidRPr="00B93CD7">
        <w:rPr>
          <w:rFonts w:eastAsiaTheme="minorEastAsia"/>
          <w:sz w:val="24"/>
        </w:rPr>
        <w:t>/</w:t>
      </w:r>
      <w:r w:rsidRPr="00B93CD7">
        <w:rPr>
          <w:rFonts w:eastAsiaTheme="minorEastAsia"/>
          <w:sz w:val="24"/>
        </w:rPr>
        <w:t>或补充的安全药理学试验</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当核心组合试验、临床试验、流行病学、体内外试验以及文献报道提示药物存在潜在的与靶动物安全性有关的不良反应时，应进行追加和</w:t>
      </w:r>
      <w:r w:rsidRPr="00B93CD7">
        <w:rPr>
          <w:rFonts w:eastAsiaTheme="minorEastAsia"/>
          <w:sz w:val="24"/>
        </w:rPr>
        <w:t>/</w:t>
      </w:r>
      <w:r w:rsidRPr="00B93CD7">
        <w:rPr>
          <w:rFonts w:eastAsiaTheme="minorEastAsia"/>
          <w:sz w:val="24"/>
        </w:rPr>
        <w:t>或补充的安全药理学研究。追加的安全药理学试验是除了核心组合试验外，反映受试物对中枢神经系统、心血管系统和呼吸系统的深入研究。追加的安全药理学试验根据已有的信息，具体情况具体分析选择追加的试验内容。补充的安全药理学试验是，出于对安全性的关注，</w:t>
      </w:r>
      <w:r w:rsidRPr="00E6786F">
        <w:rPr>
          <w:rFonts w:eastAsiaTheme="minorEastAsia" w:hint="eastAsia"/>
          <w:sz w:val="24"/>
        </w:rPr>
        <w:t>在核心组合试验或重复给药毒性试验中未观察泌尿</w:t>
      </w:r>
      <w:r w:rsidRPr="00E6786F">
        <w:rPr>
          <w:rFonts w:eastAsiaTheme="minorEastAsia"/>
          <w:sz w:val="24"/>
        </w:rPr>
        <w:t></w:t>
      </w:r>
      <w:r w:rsidRPr="00E6786F">
        <w:rPr>
          <w:rFonts w:eastAsiaTheme="minorEastAsia" w:hint="eastAsia"/>
          <w:sz w:val="24"/>
        </w:rPr>
        <w:t>肾脏系统、自主神经系统、胃肠系统等相关功能时，需要进行的研究。</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1</w:t>
      </w:r>
      <w:r>
        <w:rPr>
          <w:rFonts w:eastAsiaTheme="minorEastAsia" w:hint="eastAsia"/>
          <w:sz w:val="24"/>
        </w:rPr>
        <w:t>）</w:t>
      </w:r>
      <w:r w:rsidRPr="00B93CD7">
        <w:rPr>
          <w:rFonts w:eastAsiaTheme="minorEastAsia"/>
          <w:sz w:val="24"/>
        </w:rPr>
        <w:t>追加的安全药理学试验</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中枢神经系统：对行为、学习记忆、神经生化、视觉、听觉和</w:t>
      </w:r>
      <w:r w:rsidRPr="00B93CD7">
        <w:rPr>
          <w:rFonts w:eastAsiaTheme="minorEastAsia"/>
          <w:sz w:val="24"/>
        </w:rPr>
        <w:t>/</w:t>
      </w:r>
      <w:r w:rsidRPr="00B93CD7">
        <w:rPr>
          <w:rFonts w:eastAsiaTheme="minorEastAsia"/>
          <w:sz w:val="24"/>
        </w:rPr>
        <w:t>或电生理等指标的检测。</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心血管系统：对心输出量、心肌收缩作用、血管阻力等指标的检测。</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呼吸系统：对气道阻力、肺动脉压力、血气分析等指标的检测。</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2</w:t>
      </w:r>
      <w:r>
        <w:rPr>
          <w:rFonts w:eastAsiaTheme="minorEastAsia" w:hint="eastAsia"/>
          <w:sz w:val="24"/>
        </w:rPr>
        <w:t>）</w:t>
      </w:r>
      <w:r w:rsidRPr="00B93CD7">
        <w:rPr>
          <w:rFonts w:eastAsiaTheme="minorEastAsia"/>
          <w:sz w:val="24"/>
        </w:rPr>
        <w:t>补充的安全药理学试验</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泌尿</w:t>
      </w:r>
      <w:r w:rsidRPr="00B93CD7">
        <w:rPr>
          <w:rFonts w:eastAsiaTheme="minorEastAsia"/>
          <w:sz w:val="24"/>
        </w:rPr>
        <w:sym w:font="Symbol" w:char="F02F"/>
      </w:r>
      <w:r w:rsidRPr="00B93CD7">
        <w:rPr>
          <w:rFonts w:eastAsiaTheme="minorEastAsia"/>
          <w:sz w:val="24"/>
        </w:rPr>
        <w:t>肾脏系统：观察药物对肾功能的影响，如对尿量、比重、渗透压、</w:t>
      </w:r>
      <w:r w:rsidRPr="00B93CD7">
        <w:rPr>
          <w:rFonts w:eastAsiaTheme="minorEastAsia"/>
          <w:sz w:val="24"/>
        </w:rPr>
        <w:t>pH</w:t>
      </w:r>
      <w:r w:rsidRPr="00B93CD7">
        <w:rPr>
          <w:rFonts w:eastAsiaTheme="minorEastAsia"/>
          <w:sz w:val="24"/>
        </w:rPr>
        <w:t>、电解质平衡、蛋白质、细胞和血生化（如尿素、肌酐、蛋白质）等指标的检测。</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自主神经系统：观察药物对自主神经系统的影响，如与自主神经系统有关受体的结合，体内或体外对激动剂或拮抗剂的功能反应，对自主神经的直接刺激作用和对心血管反应、压力反射和心率等指标的检测。</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lastRenderedPageBreak/>
        <w:t>胃肠系统：观察药物对胃肠系统的影响，如胃液分泌量和</w:t>
      </w:r>
      <w:r w:rsidRPr="00B93CD7">
        <w:rPr>
          <w:rFonts w:eastAsiaTheme="minorEastAsia"/>
          <w:sz w:val="24"/>
        </w:rPr>
        <w:t>pH</w:t>
      </w:r>
      <w:r w:rsidRPr="00B93CD7">
        <w:rPr>
          <w:rFonts w:eastAsiaTheme="minorEastAsia"/>
          <w:sz w:val="24"/>
        </w:rPr>
        <w:t>、胃肠损伤、胆汁分泌、胃排空时间、体内转运时间、体外回肠收缩等指标的测定。</w:t>
      </w:r>
    </w:p>
    <w:p w:rsidR="0057796B" w:rsidRPr="00B93CD7" w:rsidRDefault="0057796B" w:rsidP="0057796B">
      <w:pPr>
        <w:adjustRightInd w:val="0"/>
        <w:snapToGrid w:val="0"/>
        <w:spacing w:line="360" w:lineRule="auto"/>
        <w:ind w:firstLineChars="200" w:firstLine="480"/>
        <w:rPr>
          <w:rFonts w:eastAsiaTheme="minorEastAsia"/>
          <w:sz w:val="24"/>
        </w:rPr>
      </w:pPr>
      <w:r>
        <w:rPr>
          <w:rFonts w:eastAsiaTheme="minorEastAsia" w:hint="eastAsia"/>
          <w:sz w:val="24"/>
        </w:rPr>
        <w:t>（</w:t>
      </w:r>
      <w:r>
        <w:rPr>
          <w:rFonts w:eastAsiaTheme="minorEastAsia" w:hint="eastAsia"/>
          <w:sz w:val="24"/>
        </w:rPr>
        <w:t>3</w:t>
      </w:r>
      <w:r>
        <w:rPr>
          <w:rFonts w:eastAsiaTheme="minorEastAsia" w:hint="eastAsia"/>
          <w:sz w:val="24"/>
        </w:rPr>
        <w:t>）</w:t>
      </w:r>
      <w:r w:rsidRPr="00B93CD7">
        <w:rPr>
          <w:rFonts w:eastAsiaTheme="minorEastAsia"/>
          <w:sz w:val="24"/>
        </w:rPr>
        <w:t>其他研究</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在其他相关研究中，尚未研究药物对下列器官系统的作用但怀疑有影响的可能性时，如潜在的药物依赖性、骨骼肌、免疫和内分泌功能等的影响，则应考虑药物对这方面的作用，并作出相应的评价。</w:t>
      </w:r>
    </w:p>
    <w:p w:rsidR="0057796B" w:rsidRPr="003F70D4" w:rsidRDefault="0057796B" w:rsidP="0057796B">
      <w:pPr>
        <w:adjustRightInd w:val="0"/>
        <w:snapToGrid w:val="0"/>
        <w:spacing w:line="360" w:lineRule="auto"/>
        <w:ind w:firstLineChars="200" w:firstLine="480"/>
        <w:rPr>
          <w:rFonts w:eastAsia="黑体"/>
          <w:bCs/>
          <w:sz w:val="24"/>
        </w:rPr>
      </w:pPr>
      <w:r w:rsidRPr="003F70D4">
        <w:rPr>
          <w:rFonts w:eastAsia="黑体"/>
          <w:bCs/>
          <w:sz w:val="24"/>
        </w:rPr>
        <w:t>（</w:t>
      </w:r>
      <w:r w:rsidR="00114342">
        <w:rPr>
          <w:rFonts w:eastAsia="黑体" w:hint="eastAsia"/>
          <w:bCs/>
          <w:sz w:val="24"/>
        </w:rPr>
        <w:t>四</w:t>
      </w:r>
      <w:r w:rsidRPr="003F70D4">
        <w:rPr>
          <w:rFonts w:eastAsia="黑体"/>
          <w:bCs/>
          <w:sz w:val="24"/>
        </w:rPr>
        <w:t>）结果分析与评价</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根据详细的试验记录，选用合适的统计方法，对数据进行定性和定量分析。</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应结合药效、毒理、药代以及其他研究资料进行综合评价，为临床研究设计提出建议。</w:t>
      </w:r>
    </w:p>
    <w:p w:rsidR="0057796B" w:rsidRDefault="0057796B" w:rsidP="008D1932">
      <w:pPr>
        <w:adjustRightInd w:val="0"/>
        <w:snapToGrid w:val="0"/>
        <w:spacing w:line="360" w:lineRule="auto"/>
        <w:ind w:firstLineChars="200" w:firstLine="560"/>
        <w:rPr>
          <w:rFonts w:eastAsiaTheme="minorEastAsia"/>
          <w:sz w:val="24"/>
        </w:rPr>
      </w:pPr>
      <w:r w:rsidRPr="00B93CD7">
        <w:rPr>
          <w:rFonts w:eastAsia="黑体"/>
          <w:sz w:val="28"/>
          <w:szCs w:val="28"/>
        </w:rPr>
        <w:t>三、试验报告</w:t>
      </w:r>
    </w:p>
    <w:p w:rsidR="00D1542A" w:rsidRPr="00B93CD7" w:rsidRDefault="00D1542A" w:rsidP="0057796B">
      <w:pPr>
        <w:adjustRightInd w:val="0"/>
        <w:snapToGrid w:val="0"/>
        <w:spacing w:line="360" w:lineRule="auto"/>
        <w:ind w:firstLineChars="200" w:firstLine="480"/>
        <w:rPr>
          <w:rFonts w:eastAsiaTheme="minorEastAsia"/>
          <w:sz w:val="24"/>
        </w:rPr>
      </w:pPr>
      <w:r>
        <w:rPr>
          <w:rFonts w:eastAsiaTheme="minorEastAsia" w:hint="eastAsia"/>
          <w:sz w:val="24"/>
        </w:rPr>
        <w:t>按照兽药</w:t>
      </w:r>
      <w:r>
        <w:rPr>
          <w:rFonts w:eastAsiaTheme="minorEastAsia" w:hint="eastAsia"/>
          <w:sz w:val="24"/>
        </w:rPr>
        <w:t>GLP</w:t>
      </w:r>
      <w:r>
        <w:rPr>
          <w:rFonts w:eastAsiaTheme="minorEastAsia" w:hint="eastAsia"/>
          <w:sz w:val="24"/>
        </w:rPr>
        <w:t>要求撰写</w:t>
      </w:r>
      <w:r>
        <w:rPr>
          <w:rFonts w:eastAsiaTheme="minorEastAsia"/>
          <w:sz w:val="24"/>
        </w:rPr>
        <w:t>试验报告。</w:t>
      </w:r>
    </w:p>
    <w:p w:rsidR="0057796B" w:rsidRPr="00B93CD7" w:rsidRDefault="0072273D" w:rsidP="008D1932">
      <w:pPr>
        <w:adjustRightInd w:val="0"/>
        <w:snapToGrid w:val="0"/>
        <w:spacing w:line="360" w:lineRule="auto"/>
        <w:ind w:firstLineChars="200" w:firstLine="560"/>
        <w:rPr>
          <w:rFonts w:eastAsia="黑体"/>
          <w:sz w:val="28"/>
          <w:szCs w:val="28"/>
        </w:rPr>
      </w:pPr>
      <w:r w:rsidRPr="008D1932">
        <w:rPr>
          <w:rFonts w:eastAsia="黑体" w:hint="eastAsia"/>
          <w:sz w:val="28"/>
          <w:szCs w:val="28"/>
        </w:rPr>
        <w:t>四、</w:t>
      </w:r>
      <w:r w:rsidR="0057796B" w:rsidRPr="00B93CD7">
        <w:rPr>
          <w:rFonts w:eastAsia="黑体"/>
          <w:sz w:val="28"/>
          <w:szCs w:val="28"/>
        </w:rPr>
        <w:t>参考文献</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1</w:t>
      </w:r>
      <w:r w:rsidR="0048766C">
        <w:rPr>
          <w:rFonts w:eastAsiaTheme="minorEastAsia" w:hint="eastAsia"/>
          <w:sz w:val="24"/>
        </w:rPr>
        <w:t>.</w:t>
      </w:r>
      <w:r w:rsidR="0048766C">
        <w:rPr>
          <w:rFonts w:eastAsiaTheme="minorEastAsia"/>
          <w:sz w:val="24"/>
        </w:rPr>
        <w:t xml:space="preserve"> </w:t>
      </w:r>
      <w:r w:rsidRPr="00B93CD7">
        <w:rPr>
          <w:rFonts w:eastAsiaTheme="minorEastAsia"/>
          <w:sz w:val="24"/>
        </w:rPr>
        <w:t>ICH Guidance for Industry ICH S</w:t>
      </w:r>
      <w:smartTag w:uri="urn:schemas-microsoft-com:office:smarttags" w:element="chmetcnv">
        <w:smartTagPr>
          <w:attr w:name="UnitName" w:val="a"/>
          <w:attr w:name="SourceValue" w:val="7"/>
          <w:attr w:name="HasSpace" w:val="False"/>
          <w:attr w:name="Negative" w:val="False"/>
          <w:attr w:name="NumberType" w:val="1"/>
          <w:attr w:name="TCSC" w:val="0"/>
        </w:smartTagPr>
        <w:r w:rsidRPr="00B93CD7">
          <w:rPr>
            <w:rFonts w:eastAsiaTheme="minorEastAsia"/>
            <w:sz w:val="24"/>
          </w:rPr>
          <w:t>7A</w:t>
        </w:r>
      </w:smartTag>
      <w:r w:rsidRPr="00B93CD7">
        <w:rPr>
          <w:rFonts w:eastAsiaTheme="minorEastAsia"/>
          <w:sz w:val="24"/>
        </w:rPr>
        <w:t>：</w:t>
      </w:r>
      <w:r w:rsidRPr="00B93CD7">
        <w:rPr>
          <w:rFonts w:eastAsiaTheme="minorEastAsia"/>
          <w:sz w:val="24"/>
        </w:rPr>
        <w:t>Safety Pharmacology Studies for Human Pharmaceuticals</w:t>
      </w:r>
      <w:r w:rsidR="003105E9">
        <w:rPr>
          <w:rFonts w:eastAsiaTheme="minorEastAsia" w:hint="eastAsia"/>
          <w:sz w:val="24"/>
        </w:rPr>
        <w:t>，</w:t>
      </w:r>
      <w:r w:rsidR="003105E9" w:rsidRPr="00B93CD7">
        <w:rPr>
          <w:rFonts w:eastAsiaTheme="minorEastAsia"/>
          <w:sz w:val="24"/>
        </w:rPr>
        <w:t xml:space="preserve"> </w:t>
      </w:r>
      <w:r w:rsidRPr="00B93CD7">
        <w:rPr>
          <w:rFonts w:eastAsiaTheme="minorEastAsia"/>
          <w:sz w:val="24"/>
        </w:rPr>
        <w:t>2001.</w:t>
      </w:r>
    </w:p>
    <w:p w:rsidR="0057796B" w:rsidRPr="00B93CD7" w:rsidRDefault="0057796B" w:rsidP="0057796B">
      <w:pPr>
        <w:adjustRightInd w:val="0"/>
        <w:snapToGrid w:val="0"/>
        <w:spacing w:line="360" w:lineRule="auto"/>
        <w:ind w:firstLineChars="200" w:firstLine="480"/>
        <w:rPr>
          <w:rFonts w:eastAsiaTheme="minorEastAsia"/>
          <w:sz w:val="24"/>
        </w:rPr>
      </w:pPr>
      <w:r w:rsidRPr="00B93CD7">
        <w:rPr>
          <w:rFonts w:eastAsiaTheme="minorEastAsia"/>
          <w:sz w:val="24"/>
        </w:rPr>
        <w:t>2</w:t>
      </w:r>
      <w:r w:rsidR="0048766C">
        <w:rPr>
          <w:rFonts w:eastAsiaTheme="minorEastAsia" w:hint="eastAsia"/>
          <w:sz w:val="24"/>
        </w:rPr>
        <w:t>.</w:t>
      </w:r>
      <w:r w:rsidR="0048766C">
        <w:rPr>
          <w:rFonts w:eastAsiaTheme="minorEastAsia"/>
          <w:sz w:val="24"/>
        </w:rPr>
        <w:t xml:space="preserve"> </w:t>
      </w:r>
      <w:r w:rsidRPr="00B93CD7">
        <w:rPr>
          <w:rFonts w:eastAsiaTheme="minorEastAsia"/>
          <w:sz w:val="24"/>
        </w:rPr>
        <w:t>ICH Guidance for Industry ICH S7B</w:t>
      </w:r>
      <w:r w:rsidRPr="00B93CD7">
        <w:rPr>
          <w:rFonts w:eastAsiaTheme="minorEastAsia"/>
          <w:sz w:val="24"/>
        </w:rPr>
        <w:t>：</w:t>
      </w:r>
      <w:r w:rsidRPr="00B93CD7">
        <w:rPr>
          <w:rFonts w:eastAsiaTheme="minorEastAsia"/>
          <w:sz w:val="24"/>
        </w:rPr>
        <w:t xml:space="preserve">Safety Pharmacology Studies for assessing the potential for delayed ventricular repolarization </w:t>
      </w:r>
      <w:r w:rsidRPr="00B93CD7">
        <w:rPr>
          <w:rFonts w:eastAsiaTheme="minorEastAsia"/>
          <w:sz w:val="24"/>
        </w:rPr>
        <w:t>（</w:t>
      </w:r>
      <w:r w:rsidRPr="00B93CD7">
        <w:rPr>
          <w:rFonts w:eastAsiaTheme="minorEastAsia"/>
          <w:sz w:val="24"/>
        </w:rPr>
        <w:t>QT interval prolongation</w:t>
      </w:r>
      <w:r w:rsidRPr="00B93CD7">
        <w:rPr>
          <w:rFonts w:eastAsiaTheme="minorEastAsia"/>
          <w:sz w:val="24"/>
        </w:rPr>
        <w:t>）</w:t>
      </w:r>
      <w:r w:rsidRPr="00B93CD7">
        <w:rPr>
          <w:rFonts w:eastAsiaTheme="minorEastAsia"/>
          <w:sz w:val="24"/>
        </w:rPr>
        <w:t>by Human Pharmaceuticals</w:t>
      </w:r>
      <w:r w:rsidR="003105E9">
        <w:rPr>
          <w:rFonts w:eastAsiaTheme="minorEastAsia" w:hint="eastAsia"/>
          <w:sz w:val="24"/>
        </w:rPr>
        <w:t>，</w:t>
      </w:r>
      <w:r w:rsidR="003105E9" w:rsidRPr="00B93CD7">
        <w:rPr>
          <w:rFonts w:eastAsiaTheme="minorEastAsia"/>
          <w:sz w:val="24"/>
        </w:rPr>
        <w:t xml:space="preserve"> </w:t>
      </w:r>
      <w:r w:rsidRPr="00B93CD7">
        <w:rPr>
          <w:rFonts w:eastAsiaTheme="minorEastAsia"/>
          <w:sz w:val="24"/>
        </w:rPr>
        <w:t>2005.</w:t>
      </w:r>
    </w:p>
    <w:p w:rsidR="0057796B" w:rsidRPr="00B93CD7" w:rsidRDefault="00F634D1" w:rsidP="0057796B">
      <w:pPr>
        <w:adjustRightInd w:val="0"/>
        <w:snapToGrid w:val="0"/>
        <w:spacing w:line="360" w:lineRule="auto"/>
        <w:ind w:firstLineChars="200" w:firstLine="480"/>
        <w:rPr>
          <w:rFonts w:eastAsiaTheme="minorEastAsia"/>
          <w:sz w:val="24"/>
        </w:rPr>
      </w:pPr>
      <w:r>
        <w:rPr>
          <w:rFonts w:eastAsiaTheme="minorEastAsia" w:hint="eastAsia"/>
          <w:sz w:val="24"/>
        </w:rPr>
        <w:t>3</w:t>
      </w:r>
      <w:r w:rsidR="0048766C">
        <w:rPr>
          <w:rFonts w:eastAsiaTheme="minorEastAsia" w:hint="eastAsia"/>
          <w:sz w:val="24"/>
        </w:rPr>
        <w:t>.</w:t>
      </w:r>
      <w:r w:rsidR="0048766C">
        <w:rPr>
          <w:rFonts w:eastAsiaTheme="minorEastAsia"/>
          <w:sz w:val="24"/>
        </w:rPr>
        <w:t xml:space="preserve"> </w:t>
      </w:r>
      <w:r w:rsidR="0057796B" w:rsidRPr="00B93CD7">
        <w:rPr>
          <w:rFonts w:eastAsiaTheme="minorEastAsia"/>
          <w:sz w:val="24"/>
        </w:rPr>
        <w:t>国家食品药品监督管理局</w:t>
      </w:r>
      <w:r w:rsidR="0057796B" w:rsidRPr="00B93CD7">
        <w:rPr>
          <w:rFonts w:eastAsiaTheme="minorEastAsia"/>
          <w:sz w:val="24"/>
        </w:rPr>
        <w:t>.</w:t>
      </w:r>
      <w:r w:rsidR="0057796B" w:rsidRPr="00B93CD7">
        <w:rPr>
          <w:rFonts w:eastAsiaTheme="minorEastAsia"/>
          <w:sz w:val="24"/>
        </w:rPr>
        <w:t>药物安全药理学研究技术指导原则，</w:t>
      </w:r>
      <w:r w:rsidR="0057796B" w:rsidRPr="00B93CD7">
        <w:rPr>
          <w:rFonts w:eastAsiaTheme="minorEastAsia"/>
          <w:sz w:val="24"/>
        </w:rPr>
        <w:t>2014</w:t>
      </w:r>
    </w:p>
    <w:p w:rsidR="0057796B" w:rsidRPr="00B93CD7" w:rsidRDefault="00F634D1" w:rsidP="0057796B">
      <w:pPr>
        <w:adjustRightInd w:val="0"/>
        <w:snapToGrid w:val="0"/>
        <w:spacing w:line="360" w:lineRule="auto"/>
        <w:ind w:firstLineChars="200" w:firstLine="480"/>
        <w:rPr>
          <w:rFonts w:eastAsiaTheme="minorEastAsia"/>
          <w:sz w:val="24"/>
        </w:rPr>
      </w:pPr>
      <w:r>
        <w:rPr>
          <w:rFonts w:eastAsiaTheme="minorEastAsia" w:hint="eastAsia"/>
          <w:sz w:val="24"/>
        </w:rPr>
        <w:t>4</w:t>
      </w:r>
      <w:r w:rsidR="0048766C">
        <w:rPr>
          <w:rFonts w:eastAsiaTheme="minorEastAsia" w:hint="eastAsia"/>
          <w:sz w:val="24"/>
        </w:rPr>
        <w:t>.</w:t>
      </w:r>
      <w:r w:rsidR="0048766C">
        <w:rPr>
          <w:rFonts w:eastAsiaTheme="minorEastAsia"/>
          <w:sz w:val="24"/>
        </w:rPr>
        <w:t xml:space="preserve"> </w:t>
      </w:r>
      <w:r w:rsidR="0057796B" w:rsidRPr="00B93CD7">
        <w:rPr>
          <w:rFonts w:eastAsiaTheme="minorEastAsia"/>
          <w:sz w:val="24"/>
        </w:rPr>
        <w:t>中华人民共和国农业部公告第</w:t>
      </w:r>
      <w:r w:rsidR="0057796B" w:rsidRPr="00B93CD7">
        <w:rPr>
          <w:rFonts w:eastAsiaTheme="minorEastAsia"/>
          <w:sz w:val="24"/>
        </w:rPr>
        <w:t>1247</w:t>
      </w:r>
      <w:r w:rsidR="0057796B" w:rsidRPr="00B93CD7">
        <w:rPr>
          <w:rFonts w:eastAsiaTheme="minorEastAsia"/>
          <w:sz w:val="24"/>
        </w:rPr>
        <w:t>号</w:t>
      </w:r>
      <w:r w:rsidR="0057796B" w:rsidRPr="00B93CD7">
        <w:rPr>
          <w:rFonts w:eastAsiaTheme="minorEastAsia"/>
          <w:sz w:val="24"/>
        </w:rPr>
        <w:t>.</w:t>
      </w:r>
      <w:r w:rsidR="0057796B" w:rsidRPr="00B93CD7">
        <w:rPr>
          <w:rFonts w:eastAsiaTheme="minorEastAsia"/>
          <w:sz w:val="24"/>
        </w:rPr>
        <w:t>兽用化学药物安全药理学试验指导原则，</w:t>
      </w:r>
      <w:r w:rsidR="0057796B" w:rsidRPr="00B93CD7">
        <w:rPr>
          <w:rFonts w:eastAsiaTheme="minorEastAsia"/>
          <w:sz w:val="24"/>
        </w:rPr>
        <w:t>2009</w:t>
      </w:r>
    </w:p>
    <w:bookmarkEnd w:id="1"/>
    <w:p w:rsidR="00BD0485" w:rsidRPr="0057796B" w:rsidRDefault="00BD0485"/>
    <w:sectPr w:rsidR="00BD0485" w:rsidRPr="005779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29" w:rsidRDefault="006C5929" w:rsidP="00810B95">
      <w:r>
        <w:separator/>
      </w:r>
    </w:p>
  </w:endnote>
  <w:endnote w:type="continuationSeparator" w:id="0">
    <w:p w:rsidR="006C5929" w:rsidRDefault="006C5929" w:rsidP="0081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29" w:rsidRDefault="006C5929" w:rsidP="00810B95">
      <w:r>
        <w:separator/>
      </w:r>
    </w:p>
  </w:footnote>
  <w:footnote w:type="continuationSeparator" w:id="0">
    <w:p w:rsidR="006C5929" w:rsidRDefault="006C5929" w:rsidP="00810B9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苏富琴">
    <w15:presenceInfo w15:providerId="None" w15:userId="苏富琴"/>
  </w15:person>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6B"/>
    <w:rsid w:val="00114342"/>
    <w:rsid w:val="001C1ADC"/>
    <w:rsid w:val="003105E9"/>
    <w:rsid w:val="00356CB4"/>
    <w:rsid w:val="0039096A"/>
    <w:rsid w:val="003F6324"/>
    <w:rsid w:val="0048766C"/>
    <w:rsid w:val="004A7A07"/>
    <w:rsid w:val="0057796B"/>
    <w:rsid w:val="00632D83"/>
    <w:rsid w:val="00647B08"/>
    <w:rsid w:val="00654397"/>
    <w:rsid w:val="006C5929"/>
    <w:rsid w:val="0072273D"/>
    <w:rsid w:val="007E6188"/>
    <w:rsid w:val="00810B95"/>
    <w:rsid w:val="008D1932"/>
    <w:rsid w:val="008D5B02"/>
    <w:rsid w:val="00991508"/>
    <w:rsid w:val="009C1BA9"/>
    <w:rsid w:val="009E7276"/>
    <w:rsid w:val="00A544FA"/>
    <w:rsid w:val="00BB7E74"/>
    <w:rsid w:val="00BD0485"/>
    <w:rsid w:val="00BD2BF1"/>
    <w:rsid w:val="00C931ED"/>
    <w:rsid w:val="00CA7309"/>
    <w:rsid w:val="00D1542A"/>
    <w:rsid w:val="00D577B3"/>
    <w:rsid w:val="00DF3ABF"/>
    <w:rsid w:val="00EC6404"/>
    <w:rsid w:val="00F20261"/>
    <w:rsid w:val="00F63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6B"/>
    <w:rPr>
      <w:rFonts w:ascii="Times New Roman" w:eastAsia="宋体" w:hAnsi="Times New Roman" w:cs="Times New Roman"/>
      <w:szCs w:val="24"/>
    </w:rPr>
  </w:style>
  <w:style w:type="paragraph" w:styleId="1">
    <w:name w:val="heading 1"/>
    <w:basedOn w:val="a"/>
    <w:next w:val="a"/>
    <w:link w:val="1Char"/>
    <w:qFormat/>
    <w:rsid w:val="0057796B"/>
    <w:pPr>
      <w:keepNext/>
      <w:keepLines/>
      <w:widowControl w:val="0"/>
      <w:spacing w:before="340" w:after="330" w:line="578" w:lineRule="auto"/>
      <w:jc w:val="both"/>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7796B"/>
    <w:rPr>
      <w:rFonts w:ascii="Times New Roman" w:eastAsia="宋体" w:hAnsi="Times New Roman" w:cs="Times New Roman"/>
      <w:b/>
      <w:bCs/>
      <w:kern w:val="44"/>
      <w:sz w:val="44"/>
      <w:szCs w:val="44"/>
    </w:rPr>
  </w:style>
  <w:style w:type="paragraph" w:styleId="a3">
    <w:name w:val="annotation text"/>
    <w:basedOn w:val="a"/>
    <w:link w:val="Char"/>
    <w:uiPriority w:val="99"/>
    <w:rsid w:val="0057796B"/>
    <w:rPr>
      <w:sz w:val="24"/>
      <w:lang w:val="x-none" w:eastAsia="x-none"/>
    </w:rPr>
  </w:style>
  <w:style w:type="character" w:customStyle="1" w:styleId="Char">
    <w:name w:val="批注文字 Char"/>
    <w:basedOn w:val="a0"/>
    <w:link w:val="a3"/>
    <w:uiPriority w:val="99"/>
    <w:rsid w:val="0057796B"/>
    <w:rPr>
      <w:rFonts w:ascii="Times New Roman" w:eastAsia="宋体" w:hAnsi="Times New Roman" w:cs="Times New Roman"/>
      <w:sz w:val="24"/>
      <w:szCs w:val="24"/>
      <w:lang w:val="x-none" w:eastAsia="x-none"/>
    </w:rPr>
  </w:style>
  <w:style w:type="character" w:styleId="a4">
    <w:name w:val="annotation reference"/>
    <w:uiPriority w:val="99"/>
    <w:rsid w:val="0057796B"/>
    <w:rPr>
      <w:rFonts w:cs="Times New Roman"/>
      <w:sz w:val="21"/>
      <w:szCs w:val="21"/>
    </w:rPr>
  </w:style>
  <w:style w:type="paragraph" w:styleId="a5">
    <w:name w:val="Balloon Text"/>
    <w:basedOn w:val="a"/>
    <w:link w:val="Char0"/>
    <w:uiPriority w:val="99"/>
    <w:semiHidden/>
    <w:unhideWhenUsed/>
    <w:rsid w:val="0057796B"/>
    <w:rPr>
      <w:sz w:val="18"/>
      <w:szCs w:val="18"/>
    </w:rPr>
  </w:style>
  <w:style w:type="character" w:customStyle="1" w:styleId="Char0">
    <w:name w:val="批注框文本 Char"/>
    <w:basedOn w:val="a0"/>
    <w:link w:val="a5"/>
    <w:uiPriority w:val="99"/>
    <w:semiHidden/>
    <w:rsid w:val="0057796B"/>
    <w:rPr>
      <w:rFonts w:ascii="Times New Roman" w:eastAsia="宋体" w:hAnsi="Times New Roman" w:cs="Times New Roman"/>
      <w:sz w:val="18"/>
      <w:szCs w:val="18"/>
    </w:rPr>
  </w:style>
  <w:style w:type="paragraph" w:styleId="a6">
    <w:name w:val="header"/>
    <w:basedOn w:val="a"/>
    <w:link w:val="Char1"/>
    <w:uiPriority w:val="99"/>
    <w:unhideWhenUsed/>
    <w:rsid w:val="00810B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10B95"/>
    <w:rPr>
      <w:rFonts w:ascii="Times New Roman" w:eastAsia="宋体" w:hAnsi="Times New Roman" w:cs="Times New Roman"/>
      <w:sz w:val="18"/>
      <w:szCs w:val="18"/>
    </w:rPr>
  </w:style>
  <w:style w:type="paragraph" w:styleId="a7">
    <w:name w:val="footer"/>
    <w:basedOn w:val="a"/>
    <w:link w:val="Char2"/>
    <w:uiPriority w:val="99"/>
    <w:unhideWhenUsed/>
    <w:rsid w:val="00810B95"/>
    <w:pPr>
      <w:tabs>
        <w:tab w:val="center" w:pos="4153"/>
        <w:tab w:val="right" w:pos="8306"/>
      </w:tabs>
      <w:snapToGrid w:val="0"/>
    </w:pPr>
    <w:rPr>
      <w:sz w:val="18"/>
      <w:szCs w:val="18"/>
    </w:rPr>
  </w:style>
  <w:style w:type="character" w:customStyle="1" w:styleId="Char2">
    <w:name w:val="页脚 Char"/>
    <w:basedOn w:val="a0"/>
    <w:link w:val="a7"/>
    <w:uiPriority w:val="99"/>
    <w:rsid w:val="00810B9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6B"/>
    <w:rPr>
      <w:rFonts w:ascii="Times New Roman" w:eastAsia="宋体" w:hAnsi="Times New Roman" w:cs="Times New Roman"/>
      <w:szCs w:val="24"/>
    </w:rPr>
  </w:style>
  <w:style w:type="paragraph" w:styleId="1">
    <w:name w:val="heading 1"/>
    <w:basedOn w:val="a"/>
    <w:next w:val="a"/>
    <w:link w:val="1Char"/>
    <w:qFormat/>
    <w:rsid w:val="0057796B"/>
    <w:pPr>
      <w:keepNext/>
      <w:keepLines/>
      <w:widowControl w:val="0"/>
      <w:spacing w:before="340" w:after="330" w:line="578" w:lineRule="auto"/>
      <w:jc w:val="both"/>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7796B"/>
    <w:rPr>
      <w:rFonts w:ascii="Times New Roman" w:eastAsia="宋体" w:hAnsi="Times New Roman" w:cs="Times New Roman"/>
      <w:b/>
      <w:bCs/>
      <w:kern w:val="44"/>
      <w:sz w:val="44"/>
      <w:szCs w:val="44"/>
    </w:rPr>
  </w:style>
  <w:style w:type="paragraph" w:styleId="a3">
    <w:name w:val="annotation text"/>
    <w:basedOn w:val="a"/>
    <w:link w:val="Char"/>
    <w:uiPriority w:val="99"/>
    <w:rsid w:val="0057796B"/>
    <w:rPr>
      <w:sz w:val="24"/>
      <w:lang w:val="x-none" w:eastAsia="x-none"/>
    </w:rPr>
  </w:style>
  <w:style w:type="character" w:customStyle="1" w:styleId="Char">
    <w:name w:val="批注文字 Char"/>
    <w:basedOn w:val="a0"/>
    <w:link w:val="a3"/>
    <w:uiPriority w:val="99"/>
    <w:rsid w:val="0057796B"/>
    <w:rPr>
      <w:rFonts w:ascii="Times New Roman" w:eastAsia="宋体" w:hAnsi="Times New Roman" w:cs="Times New Roman"/>
      <w:sz w:val="24"/>
      <w:szCs w:val="24"/>
      <w:lang w:val="x-none" w:eastAsia="x-none"/>
    </w:rPr>
  </w:style>
  <w:style w:type="character" w:styleId="a4">
    <w:name w:val="annotation reference"/>
    <w:uiPriority w:val="99"/>
    <w:rsid w:val="0057796B"/>
    <w:rPr>
      <w:rFonts w:cs="Times New Roman"/>
      <w:sz w:val="21"/>
      <w:szCs w:val="21"/>
    </w:rPr>
  </w:style>
  <w:style w:type="paragraph" w:styleId="a5">
    <w:name w:val="Balloon Text"/>
    <w:basedOn w:val="a"/>
    <w:link w:val="Char0"/>
    <w:uiPriority w:val="99"/>
    <w:semiHidden/>
    <w:unhideWhenUsed/>
    <w:rsid w:val="0057796B"/>
    <w:rPr>
      <w:sz w:val="18"/>
      <w:szCs w:val="18"/>
    </w:rPr>
  </w:style>
  <w:style w:type="character" w:customStyle="1" w:styleId="Char0">
    <w:name w:val="批注框文本 Char"/>
    <w:basedOn w:val="a0"/>
    <w:link w:val="a5"/>
    <w:uiPriority w:val="99"/>
    <w:semiHidden/>
    <w:rsid w:val="0057796B"/>
    <w:rPr>
      <w:rFonts w:ascii="Times New Roman" w:eastAsia="宋体" w:hAnsi="Times New Roman" w:cs="Times New Roman"/>
      <w:sz w:val="18"/>
      <w:szCs w:val="18"/>
    </w:rPr>
  </w:style>
  <w:style w:type="paragraph" w:styleId="a6">
    <w:name w:val="header"/>
    <w:basedOn w:val="a"/>
    <w:link w:val="Char1"/>
    <w:uiPriority w:val="99"/>
    <w:unhideWhenUsed/>
    <w:rsid w:val="00810B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10B95"/>
    <w:rPr>
      <w:rFonts w:ascii="Times New Roman" w:eastAsia="宋体" w:hAnsi="Times New Roman" w:cs="Times New Roman"/>
      <w:sz w:val="18"/>
      <w:szCs w:val="18"/>
    </w:rPr>
  </w:style>
  <w:style w:type="paragraph" w:styleId="a7">
    <w:name w:val="footer"/>
    <w:basedOn w:val="a"/>
    <w:link w:val="Char2"/>
    <w:uiPriority w:val="99"/>
    <w:unhideWhenUsed/>
    <w:rsid w:val="00810B95"/>
    <w:pPr>
      <w:tabs>
        <w:tab w:val="center" w:pos="4153"/>
        <w:tab w:val="right" w:pos="8306"/>
      </w:tabs>
      <w:snapToGrid w:val="0"/>
    </w:pPr>
    <w:rPr>
      <w:sz w:val="18"/>
      <w:szCs w:val="18"/>
    </w:rPr>
  </w:style>
  <w:style w:type="character" w:customStyle="1" w:styleId="Char2">
    <w:name w:val="页脚 Char"/>
    <w:basedOn w:val="a0"/>
    <w:link w:val="a7"/>
    <w:uiPriority w:val="99"/>
    <w:rsid w:val="00810B9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杨大伟</cp:lastModifiedBy>
  <cp:revision>21</cp:revision>
  <dcterms:created xsi:type="dcterms:W3CDTF">2025-02-28T07:36:00Z</dcterms:created>
  <dcterms:modified xsi:type="dcterms:W3CDTF">2025-03-19T11:35:00Z</dcterms:modified>
</cp:coreProperties>
</file>