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C2" w:rsidRPr="003E2FA3" w:rsidRDefault="001843C2" w:rsidP="001843C2">
      <w:pPr>
        <w:keepNext/>
        <w:keepLines/>
        <w:spacing w:line="560" w:lineRule="exact"/>
        <w:jc w:val="center"/>
        <w:outlineLvl w:val="0"/>
        <w:rPr>
          <w:rFonts w:eastAsia="黑体"/>
          <w:bCs/>
          <w:color w:val="000000"/>
          <w:kern w:val="44"/>
          <w:sz w:val="44"/>
          <w:szCs w:val="44"/>
        </w:rPr>
      </w:pPr>
      <w:bookmarkStart w:id="0" w:name="_GoBack"/>
      <w:r w:rsidRPr="003E2FA3">
        <w:rPr>
          <w:rFonts w:eastAsia="黑体"/>
          <w:bCs/>
          <w:color w:val="000000"/>
          <w:kern w:val="44"/>
          <w:sz w:val="44"/>
          <w:szCs w:val="44"/>
        </w:rPr>
        <w:t>兽药残留消除试验指导原则</w:t>
      </w:r>
    </w:p>
    <w:bookmarkEnd w:id="0"/>
    <w:p w:rsidR="001843C2" w:rsidRPr="003E2FA3" w:rsidRDefault="001843C2" w:rsidP="001843C2">
      <w:pPr>
        <w:rPr>
          <w:rFonts w:eastAsia="黑体" w:hint="eastAsia"/>
          <w:sz w:val="28"/>
          <w:szCs w:val="28"/>
        </w:rPr>
      </w:pPr>
    </w:p>
    <w:p w:rsidR="001843C2" w:rsidRPr="003E2FA3" w:rsidRDefault="001843C2" w:rsidP="001843C2">
      <w:pPr>
        <w:adjustRightInd w:val="0"/>
        <w:snapToGrid w:val="0"/>
        <w:spacing w:line="360" w:lineRule="auto"/>
        <w:ind w:firstLineChars="200" w:firstLine="560"/>
        <w:outlineLvl w:val="0"/>
        <w:rPr>
          <w:rFonts w:eastAsia="黑体"/>
          <w:sz w:val="28"/>
          <w:szCs w:val="28"/>
        </w:rPr>
      </w:pPr>
      <w:r w:rsidRPr="003E2FA3">
        <w:rPr>
          <w:rFonts w:eastAsia="黑体"/>
          <w:sz w:val="28"/>
          <w:szCs w:val="28"/>
        </w:rPr>
        <w:t>一、概述</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（一）定义与目的</w:t>
      </w:r>
    </w:p>
    <w:p w:rsidR="001843C2" w:rsidRPr="004A611A" w:rsidRDefault="001843C2" w:rsidP="001843C2">
      <w:pPr>
        <w:adjustRightInd w:val="0"/>
        <w:snapToGrid w:val="0"/>
        <w:spacing w:line="360" w:lineRule="auto"/>
        <w:ind w:firstLineChars="200" w:firstLine="420"/>
        <w:rPr>
          <w:szCs w:val="21"/>
        </w:rPr>
      </w:pPr>
      <w:r w:rsidRPr="004A611A">
        <w:rPr>
          <w:szCs w:val="21"/>
        </w:rPr>
        <w:t>兽药残留对消费者可能产生毒害作用，从而影响人类的健康和消费安全。用于食品动物的兽药产品均需通过残留消除试验制定休药期。休药期，是指为符合食品安全国家标准动物性食品中兽药最大残留限量，使用兽药后的动物在屠宰上市或其产品（蛋、奶）允许用作人的食品前停止使用兽药的一段时间。为保障动物性食品安全，特制定本指导原则。</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（二）适用范围</w:t>
      </w:r>
    </w:p>
    <w:p w:rsidR="001843C2" w:rsidRPr="004A611A" w:rsidRDefault="001843C2" w:rsidP="001843C2">
      <w:pPr>
        <w:adjustRightInd w:val="0"/>
        <w:snapToGrid w:val="0"/>
        <w:spacing w:line="360" w:lineRule="auto"/>
        <w:ind w:firstLineChars="200" w:firstLine="420"/>
        <w:rPr>
          <w:szCs w:val="21"/>
        </w:rPr>
      </w:pPr>
      <w:r w:rsidRPr="004A611A">
        <w:rPr>
          <w:szCs w:val="21"/>
        </w:rPr>
        <w:t>凡申请在食品动物（如牛、羊、猪、禽等）使用的兽药均需进行残留消除试验确定休药期。</w:t>
      </w:r>
    </w:p>
    <w:p w:rsidR="001843C2" w:rsidRPr="003E2FA3" w:rsidRDefault="001843C2" w:rsidP="001843C2">
      <w:pPr>
        <w:adjustRightInd w:val="0"/>
        <w:snapToGrid w:val="0"/>
        <w:spacing w:line="360" w:lineRule="auto"/>
        <w:ind w:firstLineChars="200" w:firstLine="560"/>
        <w:outlineLvl w:val="0"/>
        <w:rPr>
          <w:rFonts w:eastAsia="黑体"/>
          <w:sz w:val="28"/>
          <w:szCs w:val="28"/>
        </w:rPr>
      </w:pPr>
      <w:r w:rsidRPr="003E2FA3">
        <w:rPr>
          <w:rFonts w:eastAsia="黑体"/>
          <w:sz w:val="28"/>
          <w:szCs w:val="28"/>
        </w:rPr>
        <w:t>二、分析方法</w:t>
      </w:r>
    </w:p>
    <w:p w:rsidR="001843C2" w:rsidRPr="004A611A" w:rsidRDefault="001843C2" w:rsidP="001843C2">
      <w:pPr>
        <w:adjustRightInd w:val="0"/>
        <w:snapToGrid w:val="0"/>
        <w:spacing w:line="360" w:lineRule="auto"/>
        <w:ind w:firstLineChars="200" w:firstLine="420"/>
        <w:rPr>
          <w:szCs w:val="21"/>
        </w:rPr>
      </w:pPr>
      <w:r w:rsidRPr="004A611A">
        <w:rPr>
          <w:szCs w:val="21"/>
        </w:rPr>
        <w:t>由于残留消除试验样品一般来自动物可食性组织或蛋、奶等产品，具有取样量少、药物浓度低、内源性物质干扰多（如激素、维生素、胆汁以及可能同服的其他药物）以及个体差异大等特点，因此必须建立灵敏、专一、精确、可靠的生物样品定量分析方法，并对方法进行确证。</w:t>
      </w:r>
    </w:p>
    <w:p w:rsidR="001843C2" w:rsidRPr="004A611A" w:rsidRDefault="001843C2" w:rsidP="001843C2">
      <w:pPr>
        <w:adjustRightInd w:val="0"/>
        <w:snapToGrid w:val="0"/>
        <w:spacing w:line="360" w:lineRule="auto"/>
        <w:ind w:firstLineChars="200" w:firstLine="420"/>
        <w:rPr>
          <w:szCs w:val="21"/>
        </w:rPr>
      </w:pPr>
      <w:r w:rsidRPr="004A611A">
        <w:rPr>
          <w:szCs w:val="21"/>
        </w:rPr>
        <w:t>分析方法可采用标准方法、非标准方法以及允许偏离的标准方法。</w:t>
      </w:r>
    </w:p>
    <w:p w:rsidR="001843C2" w:rsidRPr="004A611A" w:rsidRDefault="001843C2" w:rsidP="001843C2">
      <w:pPr>
        <w:adjustRightInd w:val="0"/>
        <w:snapToGrid w:val="0"/>
        <w:spacing w:line="360" w:lineRule="auto"/>
        <w:ind w:firstLineChars="200" w:firstLine="420"/>
        <w:rPr>
          <w:szCs w:val="21"/>
        </w:rPr>
      </w:pPr>
      <w:r w:rsidRPr="004A611A">
        <w:rPr>
          <w:szCs w:val="21"/>
        </w:rPr>
        <w:t>标准方法包括：国家标准、农业部公告、</w:t>
      </w:r>
      <w:r w:rsidRPr="004A611A">
        <w:rPr>
          <w:szCs w:val="21"/>
        </w:rPr>
        <w:t>CAC</w:t>
      </w:r>
      <w:r w:rsidRPr="004A611A">
        <w:rPr>
          <w:szCs w:val="21"/>
        </w:rPr>
        <w:t>、</w:t>
      </w:r>
      <w:r w:rsidRPr="004A611A">
        <w:rPr>
          <w:szCs w:val="21"/>
        </w:rPr>
        <w:t>AOAC</w:t>
      </w:r>
      <w:r w:rsidRPr="004A611A">
        <w:rPr>
          <w:szCs w:val="21"/>
        </w:rPr>
        <w:t>、美国</w:t>
      </w:r>
      <w:r w:rsidRPr="004A611A">
        <w:rPr>
          <w:szCs w:val="21"/>
        </w:rPr>
        <w:t>FSIS</w:t>
      </w:r>
      <w:r w:rsidRPr="004A611A">
        <w:rPr>
          <w:szCs w:val="21"/>
        </w:rPr>
        <w:t>、欧盟等检测方法标准。允许偏离的标准方法包括：超出标准规定范围使用的标准方法；经过扩充或更改的标准方法。</w:t>
      </w:r>
    </w:p>
    <w:p w:rsidR="001843C2" w:rsidRPr="004A611A" w:rsidRDefault="001843C2" w:rsidP="001843C2">
      <w:pPr>
        <w:adjustRightInd w:val="0"/>
        <w:snapToGrid w:val="0"/>
        <w:spacing w:line="360" w:lineRule="auto"/>
        <w:ind w:firstLineChars="200" w:firstLine="420"/>
        <w:rPr>
          <w:szCs w:val="21"/>
        </w:rPr>
      </w:pPr>
      <w:r w:rsidRPr="004A611A">
        <w:rPr>
          <w:szCs w:val="21"/>
        </w:rPr>
        <w:t>标准方法和允许偏离的标准方法按照方法学验证的要求进行验证。非标准方法需要按照兽药残留检测方法制定要求进行。</w:t>
      </w:r>
    </w:p>
    <w:p w:rsidR="001843C2" w:rsidRPr="004A611A" w:rsidRDefault="001843C2" w:rsidP="001843C2">
      <w:pPr>
        <w:adjustRightInd w:val="0"/>
        <w:snapToGrid w:val="0"/>
        <w:spacing w:line="360" w:lineRule="auto"/>
        <w:ind w:firstLineChars="200" w:firstLine="420"/>
        <w:rPr>
          <w:szCs w:val="21"/>
        </w:rPr>
      </w:pPr>
      <w:r w:rsidRPr="004A611A">
        <w:rPr>
          <w:szCs w:val="21"/>
        </w:rPr>
        <w:t>分析方法一般采用外标法，当绝对回收率达不到要求或有可能影响定量等其他因素时，建议采用内标法。优先选择待测分析物的同位素替代化合物作为内标，也可以使用不影响残留消除试验结果准确性的其他物质作为内标。</w:t>
      </w:r>
    </w:p>
    <w:p w:rsidR="001843C2" w:rsidRPr="004A611A" w:rsidRDefault="001843C2" w:rsidP="001843C2">
      <w:pPr>
        <w:adjustRightInd w:val="0"/>
        <w:snapToGrid w:val="0"/>
        <w:spacing w:line="360" w:lineRule="auto"/>
        <w:ind w:firstLineChars="200" w:firstLine="420"/>
        <w:rPr>
          <w:szCs w:val="21"/>
        </w:rPr>
      </w:pPr>
      <w:r w:rsidRPr="004A611A">
        <w:rPr>
          <w:szCs w:val="21"/>
        </w:rPr>
        <w:t>测定时一般采用标准溶液或空白基质添加标准物质溶液制备的标准曲线进行定量。使用的标准物质必须符合国家相关规定的赋值溯源。</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（一）常用分析方法</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目前常用的分析方法主要有：</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1.</w:t>
      </w:r>
      <w:r w:rsidRPr="004A611A">
        <w:rPr>
          <w:rFonts w:eastAsia="黑体"/>
          <w:szCs w:val="21"/>
        </w:rPr>
        <w:t>色谱法</w:t>
      </w:r>
      <w:r w:rsidRPr="004A611A">
        <w:rPr>
          <w:color w:val="000000"/>
          <w:kern w:val="0"/>
          <w:szCs w:val="21"/>
        </w:rPr>
        <w:t>：高效液相色谱法（</w:t>
      </w:r>
      <w:r w:rsidRPr="004A611A">
        <w:rPr>
          <w:color w:val="000000"/>
          <w:kern w:val="0"/>
          <w:szCs w:val="21"/>
        </w:rPr>
        <w:t>HPLC</w:t>
      </w:r>
      <w:r w:rsidRPr="004A611A">
        <w:rPr>
          <w:color w:val="000000"/>
          <w:kern w:val="0"/>
          <w:szCs w:val="21"/>
        </w:rPr>
        <w:t>）、气相色谱法（</w:t>
      </w:r>
      <w:r w:rsidRPr="004A611A">
        <w:rPr>
          <w:color w:val="000000"/>
          <w:kern w:val="0"/>
          <w:szCs w:val="21"/>
        </w:rPr>
        <w:t>GC</w:t>
      </w:r>
      <w:r w:rsidRPr="004A611A">
        <w:rPr>
          <w:color w:val="000000"/>
          <w:kern w:val="0"/>
          <w:szCs w:val="21"/>
        </w:rPr>
        <w:t>）、色谱－质谱联用法（</w:t>
      </w:r>
      <w:r w:rsidRPr="004A611A">
        <w:rPr>
          <w:color w:val="000000"/>
          <w:kern w:val="0"/>
          <w:szCs w:val="21"/>
        </w:rPr>
        <w:t>LC-MS</w:t>
      </w:r>
      <w:r w:rsidRPr="004A611A">
        <w:rPr>
          <w:color w:val="000000"/>
          <w:kern w:val="0"/>
          <w:szCs w:val="21"/>
        </w:rPr>
        <w:t>、</w:t>
      </w:r>
      <w:r w:rsidRPr="004A611A">
        <w:rPr>
          <w:color w:val="000000"/>
          <w:kern w:val="0"/>
          <w:szCs w:val="21"/>
        </w:rPr>
        <w:t>LC-MS-MS</w:t>
      </w:r>
      <w:r w:rsidRPr="004A611A">
        <w:rPr>
          <w:color w:val="000000"/>
          <w:kern w:val="0"/>
          <w:szCs w:val="21"/>
        </w:rPr>
        <w:t>，</w:t>
      </w:r>
      <w:r w:rsidRPr="004A611A">
        <w:rPr>
          <w:color w:val="000000"/>
          <w:kern w:val="0"/>
          <w:szCs w:val="21"/>
        </w:rPr>
        <w:t>GC-MS</w:t>
      </w:r>
      <w:r w:rsidRPr="004A611A">
        <w:rPr>
          <w:color w:val="000000"/>
          <w:kern w:val="0"/>
          <w:szCs w:val="21"/>
        </w:rPr>
        <w:t>，</w:t>
      </w:r>
      <w:r w:rsidRPr="004A611A">
        <w:rPr>
          <w:color w:val="000000"/>
          <w:kern w:val="0"/>
          <w:szCs w:val="21"/>
        </w:rPr>
        <w:t>GC-MS-MS</w:t>
      </w:r>
      <w:r w:rsidRPr="004A611A">
        <w:rPr>
          <w:color w:val="000000"/>
          <w:kern w:val="0"/>
          <w:szCs w:val="21"/>
        </w:rPr>
        <w:t>）等，可用于大多数药物的检测。从目前发展看，生物样</w:t>
      </w:r>
      <w:r w:rsidRPr="004A611A">
        <w:rPr>
          <w:color w:val="000000"/>
          <w:kern w:val="0"/>
          <w:szCs w:val="21"/>
        </w:rPr>
        <w:lastRenderedPageBreak/>
        <w:t>品的分析一般选择色谱法，这类方法灵敏度、特异性、准确性一般都能适应残留消除研究的需要。具体选用何种分析方法应根据药物的化学结构、理化性质、仪器条件以及借鉴文献方法多方面因素来考虑确定。</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2.</w:t>
      </w:r>
      <w:r w:rsidRPr="004A611A">
        <w:rPr>
          <w:rFonts w:eastAsia="黑体"/>
          <w:szCs w:val="21"/>
        </w:rPr>
        <w:t>免疫学方法</w:t>
      </w:r>
      <w:r w:rsidRPr="004A611A">
        <w:rPr>
          <w:color w:val="000000"/>
          <w:kern w:val="0"/>
          <w:szCs w:val="21"/>
        </w:rPr>
        <w:t>：放射免疫分析法、酶免疫分析法、荧光免疫分析法等，多用于蛋白质多肽类物质的检测。</w:t>
      </w:r>
    </w:p>
    <w:p w:rsidR="001843C2" w:rsidRPr="003E2FA3" w:rsidRDefault="001843C2" w:rsidP="001843C2">
      <w:pPr>
        <w:autoSpaceDE w:val="0"/>
        <w:autoSpaceDN w:val="0"/>
        <w:adjustRightInd w:val="0"/>
        <w:snapToGrid w:val="0"/>
        <w:spacing w:line="360" w:lineRule="auto"/>
        <w:ind w:firstLineChars="200" w:firstLine="420"/>
        <w:rPr>
          <w:color w:val="000000"/>
          <w:kern w:val="0"/>
          <w:sz w:val="28"/>
          <w:szCs w:val="28"/>
        </w:rPr>
      </w:pPr>
      <w:r w:rsidRPr="004A611A">
        <w:rPr>
          <w:rFonts w:eastAsia="黑体"/>
          <w:szCs w:val="21"/>
        </w:rPr>
        <w:t>3.</w:t>
      </w:r>
      <w:r w:rsidRPr="004A611A">
        <w:rPr>
          <w:rFonts w:eastAsia="黑体"/>
          <w:szCs w:val="21"/>
        </w:rPr>
        <w:t>微生物学方法</w:t>
      </w:r>
      <w:r w:rsidRPr="004A611A">
        <w:rPr>
          <w:color w:val="000000"/>
          <w:kern w:val="0"/>
          <w:szCs w:val="21"/>
        </w:rPr>
        <w:t>：主要用于抗生素或部分抗寄生虫药的检测，如果抗微生物药的代谢产物仍有抗菌活性，则不宜选用微生物法。</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（二）方法学验证</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方法学验证是整个残留消除研究的基础。为了保证分析方法可靠，必须对方法进行充分验证，一般应进行以下几方面的考察。</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1.</w:t>
      </w:r>
      <w:r w:rsidRPr="004A611A">
        <w:rPr>
          <w:rFonts w:eastAsia="黑体"/>
          <w:szCs w:val="21"/>
        </w:rPr>
        <w:t>特异性</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指在样品中存在干扰成分的情况下，分析方法能够准确、专一地测定分析物的能力。必须证明所测定物质是受试药品的原形药物或特定活性代谢物，生物样品所含内源性物质和相应代谢物、降解产物不得干扰对样品的测定，如果有几个分析物，应保证每个分析物都不被干扰。应确定保证分析方法的最佳检测条件。对于色谱法至少要考察空白生物样品色谱图、空白生物样品外加对照物质色谱图（注明浓度）及用药后的生物样品色谱图。采用</w:t>
      </w:r>
      <w:r w:rsidRPr="004A611A">
        <w:rPr>
          <w:color w:val="000000"/>
          <w:kern w:val="0"/>
          <w:szCs w:val="21"/>
        </w:rPr>
        <w:t>LC-MS</w:t>
      </w:r>
      <w:r w:rsidRPr="004A611A">
        <w:rPr>
          <w:color w:val="000000"/>
          <w:kern w:val="0"/>
          <w:szCs w:val="21"/>
        </w:rPr>
        <w:t>、</w:t>
      </w:r>
      <w:r w:rsidRPr="004A611A">
        <w:rPr>
          <w:color w:val="000000"/>
          <w:kern w:val="0"/>
          <w:szCs w:val="21"/>
        </w:rPr>
        <w:t>LC-MS/MS</w:t>
      </w:r>
      <w:r w:rsidRPr="004A611A">
        <w:rPr>
          <w:color w:val="000000"/>
          <w:kern w:val="0"/>
          <w:szCs w:val="21"/>
        </w:rPr>
        <w:t>法时应考察分析过程中的基质效应，基质效应应不超过</w:t>
      </w:r>
      <w:r w:rsidRPr="004A611A">
        <w:rPr>
          <w:color w:val="000000"/>
          <w:kern w:val="0"/>
          <w:szCs w:val="21"/>
        </w:rPr>
        <w:t>LOQ</w:t>
      </w:r>
      <w:r w:rsidRPr="004A611A">
        <w:rPr>
          <w:color w:val="000000"/>
          <w:kern w:val="0"/>
          <w:szCs w:val="21"/>
        </w:rPr>
        <w:t>的</w:t>
      </w:r>
      <w:r w:rsidRPr="004A611A">
        <w:rPr>
          <w:color w:val="000000"/>
          <w:kern w:val="0"/>
          <w:szCs w:val="21"/>
        </w:rPr>
        <w:t>20%</w:t>
      </w:r>
      <w:r w:rsidRPr="004A611A">
        <w:rPr>
          <w:color w:val="000000"/>
          <w:kern w:val="0"/>
          <w:szCs w:val="21"/>
        </w:rPr>
        <w:t>。</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2.</w:t>
      </w:r>
      <w:r w:rsidRPr="004A611A">
        <w:rPr>
          <w:rFonts w:eastAsia="黑体"/>
          <w:szCs w:val="21"/>
        </w:rPr>
        <w:t>标准曲线和定量范围</w:t>
      </w:r>
      <w:r w:rsidRPr="004A611A">
        <w:rPr>
          <w:color w:val="000000"/>
          <w:kern w:val="0"/>
          <w:szCs w:val="21"/>
        </w:rPr>
        <w:t xml:space="preserve">  </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标准曲线反映了所测定物质浓度与仪器响应值之间的关系，一般用回归分析法（如用加权最小二乘法等）所得的回归方程来评价。应提供标准曲线的线性方程和相关系数，说明其线性相关程度。标准曲线高低浓度范围为定量范围，在定量范围内浓度测定结果应达到试验要求的精密度和准确度。</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配制标准样品应使用与待测样品相同的生物基质。</w:t>
      </w:r>
      <w:r w:rsidRPr="004A611A">
        <w:rPr>
          <w:szCs w:val="21"/>
        </w:rPr>
        <w:t>不同的样品应制备各自的标准曲线。</w:t>
      </w:r>
      <w:r w:rsidRPr="004A611A">
        <w:rPr>
          <w:color w:val="000000"/>
          <w:kern w:val="0"/>
          <w:szCs w:val="21"/>
        </w:rPr>
        <w:t>用于建立标准曲线的浓度个数取决于分析物可能的浓度范围和分析物浓度</w:t>
      </w:r>
      <w:r w:rsidRPr="004A611A">
        <w:rPr>
          <w:color w:val="000000"/>
          <w:kern w:val="0"/>
          <w:szCs w:val="21"/>
        </w:rPr>
        <w:t>/</w:t>
      </w:r>
      <w:r w:rsidRPr="004A611A">
        <w:rPr>
          <w:color w:val="000000"/>
          <w:kern w:val="0"/>
          <w:szCs w:val="21"/>
        </w:rPr>
        <w:t>响应值关系的性质。必须至少用</w:t>
      </w:r>
      <w:r w:rsidRPr="004A611A">
        <w:rPr>
          <w:color w:val="000000"/>
          <w:kern w:val="0"/>
          <w:szCs w:val="21"/>
        </w:rPr>
        <w:t>5</w:t>
      </w:r>
      <w:r w:rsidRPr="004A611A">
        <w:rPr>
          <w:color w:val="000000"/>
          <w:kern w:val="0"/>
          <w:szCs w:val="21"/>
        </w:rPr>
        <w:t>个浓度建立标准曲线，对于非线性相关可能需要更多浓度点。定量范围要能覆盖全部待测的生物样品浓度范围，不得用定量范围外推的方法求算未知样品的浓度。当所需测定样品中药物浓度超出定量范围时，应采取科学的稀释步骤，使得被测药物浓度在定量范围之内。建立标准曲线时应随测空白生物样品，但计算时不包括该点，仅用于评价干扰。当线性范围较宽的时候，推荐采用加权的方法对标准曲线进行计算，以使低浓度点计算得比较准确。标准曲线需经统计学分析，如进行相关性与回归分析。相关系数要求：色谱法应大于</w:t>
      </w:r>
      <w:r w:rsidRPr="004A611A">
        <w:rPr>
          <w:color w:val="000000"/>
          <w:kern w:val="0"/>
          <w:szCs w:val="21"/>
        </w:rPr>
        <w:t>0.99</w:t>
      </w:r>
      <w:r w:rsidRPr="004A611A">
        <w:rPr>
          <w:color w:val="000000"/>
          <w:kern w:val="0"/>
          <w:szCs w:val="21"/>
        </w:rPr>
        <w:t>，生物法应大于</w:t>
      </w:r>
      <w:r w:rsidRPr="004A611A">
        <w:rPr>
          <w:color w:val="000000"/>
          <w:kern w:val="0"/>
          <w:szCs w:val="21"/>
        </w:rPr>
        <w:t>0.98</w:t>
      </w:r>
      <w:r w:rsidRPr="004A611A">
        <w:rPr>
          <w:color w:val="000000"/>
          <w:kern w:val="0"/>
          <w:szCs w:val="21"/>
        </w:rPr>
        <w:t>。</w:t>
      </w:r>
    </w:p>
    <w:p w:rsidR="001843C2" w:rsidRPr="004A611A" w:rsidRDefault="001843C2" w:rsidP="001843C2">
      <w:pPr>
        <w:topLinePunct/>
        <w:adjustRightInd w:val="0"/>
        <w:snapToGrid w:val="0"/>
        <w:spacing w:line="360" w:lineRule="auto"/>
        <w:ind w:firstLineChars="200" w:firstLine="420"/>
        <w:rPr>
          <w:color w:val="000000"/>
          <w:kern w:val="0"/>
          <w:szCs w:val="21"/>
        </w:rPr>
      </w:pPr>
      <w:r w:rsidRPr="004A611A">
        <w:rPr>
          <w:color w:val="000000"/>
          <w:kern w:val="0"/>
          <w:szCs w:val="21"/>
        </w:rPr>
        <w:t>有些分析（如微生物分析）可能需要对数（</w:t>
      </w:r>
      <w:r w:rsidRPr="004A611A">
        <w:rPr>
          <w:color w:val="000000"/>
          <w:kern w:val="0"/>
          <w:szCs w:val="21"/>
        </w:rPr>
        <w:t>log</w:t>
      </w:r>
      <w:r w:rsidRPr="004A611A">
        <w:rPr>
          <w:color w:val="000000"/>
          <w:kern w:val="0"/>
          <w:szCs w:val="21"/>
        </w:rPr>
        <w:t>）转换才能达到线性，而其他分析</w:t>
      </w:r>
      <w:r w:rsidRPr="004A611A">
        <w:rPr>
          <w:rFonts w:hint="eastAsia"/>
          <w:color w:val="000000"/>
          <w:kern w:val="0"/>
          <w:szCs w:val="21"/>
        </w:rPr>
        <w:t>[</w:t>
      </w:r>
      <w:r w:rsidRPr="004A611A">
        <w:rPr>
          <w:color w:val="000000"/>
          <w:kern w:val="0"/>
          <w:szCs w:val="21"/>
        </w:rPr>
        <w:t>如酶联免疫吸附测定法</w:t>
      </w:r>
      <w:r w:rsidRPr="004A611A">
        <w:rPr>
          <w:rFonts w:hint="eastAsia"/>
          <w:color w:val="000000"/>
          <w:kern w:val="0"/>
          <w:szCs w:val="21"/>
        </w:rPr>
        <w:t>（</w:t>
      </w:r>
      <w:r w:rsidRPr="004A611A">
        <w:rPr>
          <w:color w:val="000000"/>
          <w:kern w:val="0"/>
          <w:szCs w:val="21"/>
        </w:rPr>
        <w:t>ELISA</w:t>
      </w:r>
      <w:r w:rsidRPr="004A611A">
        <w:rPr>
          <w:rFonts w:hint="eastAsia"/>
          <w:color w:val="000000"/>
          <w:kern w:val="0"/>
          <w:szCs w:val="21"/>
        </w:rPr>
        <w:t>）</w:t>
      </w:r>
      <w:r w:rsidRPr="004A611A">
        <w:rPr>
          <w:color w:val="000000"/>
          <w:kern w:val="0"/>
          <w:szCs w:val="21"/>
        </w:rPr>
        <w:t>、放射免疫测定法</w:t>
      </w:r>
      <w:r w:rsidRPr="004A611A">
        <w:rPr>
          <w:rFonts w:hint="eastAsia"/>
          <w:color w:val="000000"/>
          <w:kern w:val="0"/>
          <w:szCs w:val="21"/>
        </w:rPr>
        <w:t>（</w:t>
      </w:r>
      <w:r w:rsidRPr="004A611A">
        <w:rPr>
          <w:color w:val="000000"/>
          <w:kern w:val="0"/>
          <w:szCs w:val="21"/>
        </w:rPr>
        <w:t>RIA</w:t>
      </w:r>
      <w:r w:rsidRPr="004A611A">
        <w:rPr>
          <w:rFonts w:hint="eastAsia"/>
          <w:color w:val="000000"/>
          <w:kern w:val="0"/>
          <w:szCs w:val="21"/>
        </w:rPr>
        <w:t>）</w:t>
      </w:r>
      <w:r w:rsidRPr="004A611A">
        <w:rPr>
          <w:rFonts w:hint="eastAsia"/>
          <w:color w:val="000000"/>
          <w:kern w:val="0"/>
          <w:szCs w:val="21"/>
        </w:rPr>
        <w:t>]</w:t>
      </w:r>
      <w:r w:rsidRPr="004A611A">
        <w:rPr>
          <w:color w:val="000000"/>
          <w:kern w:val="0"/>
          <w:szCs w:val="21"/>
        </w:rPr>
        <w:t>可能需要更复杂的数学函数以确立浓度与响应值之间的关系。也应通过评价选定函数生成的残差确认使用该函数时的可接受</w:t>
      </w:r>
      <w:r w:rsidRPr="004A611A">
        <w:rPr>
          <w:color w:val="000000"/>
          <w:kern w:val="0"/>
          <w:szCs w:val="21"/>
        </w:rPr>
        <w:lastRenderedPageBreak/>
        <w:t>性。</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3.</w:t>
      </w:r>
      <w:r w:rsidRPr="004A611A">
        <w:rPr>
          <w:rFonts w:eastAsia="黑体"/>
          <w:szCs w:val="21"/>
        </w:rPr>
        <w:t>检测限和定量限</w:t>
      </w:r>
      <w:r w:rsidRPr="004A611A">
        <w:rPr>
          <w:color w:val="000000"/>
          <w:kern w:val="0"/>
          <w:szCs w:val="21"/>
        </w:rPr>
        <w:t xml:space="preserve">  </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建立分析方法时，应测定背景信号（噪音）的标准偏差，确定方法的检测限（</w:t>
      </w:r>
      <w:r w:rsidRPr="004A611A">
        <w:rPr>
          <w:color w:val="000000"/>
          <w:kern w:val="0"/>
          <w:szCs w:val="21"/>
        </w:rPr>
        <w:t>limit of detection</w:t>
      </w:r>
      <w:r w:rsidRPr="004A611A">
        <w:rPr>
          <w:color w:val="000000"/>
          <w:kern w:val="0"/>
          <w:szCs w:val="21"/>
        </w:rPr>
        <w:t>，</w:t>
      </w:r>
      <w:r w:rsidRPr="004A611A">
        <w:rPr>
          <w:color w:val="000000"/>
          <w:kern w:val="0"/>
          <w:szCs w:val="21"/>
        </w:rPr>
        <w:t>LOD</w:t>
      </w:r>
      <w:r w:rsidRPr="004A611A">
        <w:rPr>
          <w:color w:val="000000"/>
          <w:kern w:val="0"/>
          <w:szCs w:val="21"/>
        </w:rPr>
        <w:t>）和定量限（</w:t>
      </w:r>
      <w:r w:rsidRPr="004A611A">
        <w:rPr>
          <w:color w:val="000000"/>
          <w:kern w:val="0"/>
          <w:szCs w:val="21"/>
        </w:rPr>
        <w:t>limit of quantitation</w:t>
      </w:r>
      <w:r w:rsidRPr="004A611A">
        <w:rPr>
          <w:color w:val="000000"/>
          <w:kern w:val="0"/>
          <w:szCs w:val="21"/>
        </w:rPr>
        <w:t>，</w:t>
      </w:r>
      <w:r w:rsidRPr="004A611A">
        <w:rPr>
          <w:color w:val="000000"/>
          <w:kern w:val="0"/>
          <w:szCs w:val="21"/>
        </w:rPr>
        <w:t>LOQ</w:t>
      </w:r>
      <w:r w:rsidRPr="004A611A">
        <w:rPr>
          <w:color w:val="000000"/>
          <w:kern w:val="0"/>
          <w:szCs w:val="21"/>
        </w:rPr>
        <w:t>）。</w:t>
      </w:r>
      <w:r w:rsidRPr="004A611A">
        <w:rPr>
          <w:color w:val="000000"/>
          <w:kern w:val="0"/>
          <w:szCs w:val="21"/>
        </w:rPr>
        <w:t>LOD</w:t>
      </w:r>
      <w:r w:rsidRPr="004A611A">
        <w:rPr>
          <w:color w:val="000000"/>
          <w:kern w:val="0"/>
          <w:szCs w:val="21"/>
        </w:rPr>
        <w:t>为噪音均值加</w:t>
      </w:r>
      <w:r w:rsidRPr="004A611A">
        <w:rPr>
          <w:color w:val="000000"/>
          <w:kern w:val="0"/>
          <w:szCs w:val="21"/>
        </w:rPr>
        <w:t>3</w:t>
      </w:r>
      <w:r w:rsidRPr="004A611A">
        <w:rPr>
          <w:color w:val="000000"/>
          <w:kern w:val="0"/>
          <w:szCs w:val="21"/>
        </w:rPr>
        <w:t>倍标准差，</w:t>
      </w:r>
      <w:r w:rsidRPr="004A611A">
        <w:rPr>
          <w:color w:val="000000"/>
          <w:kern w:val="0"/>
          <w:szCs w:val="21"/>
        </w:rPr>
        <w:t>LOQ</w:t>
      </w:r>
      <w:r w:rsidRPr="004A611A">
        <w:rPr>
          <w:color w:val="000000"/>
          <w:kern w:val="0"/>
          <w:szCs w:val="21"/>
        </w:rPr>
        <w:t>为噪音均值加</w:t>
      </w:r>
      <w:r w:rsidRPr="004A611A">
        <w:rPr>
          <w:color w:val="000000"/>
          <w:kern w:val="0"/>
          <w:szCs w:val="21"/>
        </w:rPr>
        <w:t>10</w:t>
      </w:r>
      <w:r w:rsidRPr="004A611A">
        <w:rPr>
          <w:color w:val="000000"/>
          <w:kern w:val="0"/>
          <w:szCs w:val="21"/>
        </w:rPr>
        <w:t>倍标准差。</w:t>
      </w:r>
      <w:r w:rsidRPr="004A611A">
        <w:rPr>
          <w:color w:val="000000"/>
          <w:kern w:val="0"/>
          <w:szCs w:val="21"/>
        </w:rPr>
        <w:t>LOQ</w:t>
      </w:r>
      <w:r w:rsidRPr="004A611A">
        <w:rPr>
          <w:color w:val="000000"/>
          <w:kern w:val="0"/>
          <w:szCs w:val="21"/>
        </w:rPr>
        <w:t>一般是标准曲线的最低浓度，表示测定样品中符合准确度和精密度要求的最低药物浓度。</w:t>
      </w:r>
      <w:r w:rsidRPr="004A611A">
        <w:rPr>
          <w:color w:val="000000"/>
          <w:kern w:val="0"/>
          <w:szCs w:val="21"/>
        </w:rPr>
        <w:t>LOQ</w:t>
      </w:r>
      <w:r w:rsidRPr="004A611A">
        <w:rPr>
          <w:color w:val="000000"/>
          <w:kern w:val="0"/>
          <w:szCs w:val="21"/>
        </w:rPr>
        <w:t>原则上应低于</w:t>
      </w:r>
      <w:r w:rsidRPr="004A611A">
        <w:rPr>
          <w:color w:val="000000"/>
          <w:kern w:val="0"/>
          <w:szCs w:val="21"/>
        </w:rPr>
        <w:t>1/2MRL</w:t>
      </w:r>
      <w:r w:rsidRPr="004A611A">
        <w:rPr>
          <w:color w:val="000000"/>
          <w:kern w:val="0"/>
          <w:szCs w:val="21"/>
        </w:rPr>
        <w:t>。</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4.</w:t>
      </w:r>
      <w:r w:rsidRPr="004A611A">
        <w:rPr>
          <w:rFonts w:eastAsia="黑体"/>
          <w:szCs w:val="21"/>
        </w:rPr>
        <w:t>准确度与精密度</w:t>
      </w:r>
      <w:r w:rsidRPr="004A611A">
        <w:rPr>
          <w:color w:val="000000"/>
          <w:kern w:val="0"/>
          <w:szCs w:val="21"/>
        </w:rPr>
        <w:t xml:space="preserve">  </w:t>
      </w:r>
    </w:p>
    <w:p w:rsidR="001843C2" w:rsidRPr="004A611A" w:rsidRDefault="001843C2" w:rsidP="001843C2">
      <w:pPr>
        <w:topLinePunct/>
        <w:adjustRightInd w:val="0"/>
        <w:snapToGrid w:val="0"/>
        <w:spacing w:line="360" w:lineRule="auto"/>
        <w:ind w:firstLineChars="200" w:firstLine="420"/>
        <w:rPr>
          <w:snapToGrid w:val="0"/>
          <w:kern w:val="0"/>
          <w:szCs w:val="21"/>
        </w:rPr>
      </w:pPr>
      <w:r w:rsidRPr="004A611A">
        <w:rPr>
          <w:snapToGrid w:val="0"/>
          <w:kern w:val="0"/>
          <w:szCs w:val="21"/>
        </w:rPr>
        <w:t>准确度指分析物实际浓度值与用该方法得到的平均结果之间接近的程度。准确度与系统误差（分析方法偏差）和分析物回收率（以回收率</w:t>
      </w:r>
      <w:r w:rsidRPr="004A611A">
        <w:rPr>
          <w:snapToGrid w:val="0"/>
          <w:kern w:val="0"/>
          <w:szCs w:val="21"/>
        </w:rPr>
        <w:t>%</w:t>
      </w:r>
      <w:r w:rsidRPr="004A611A">
        <w:rPr>
          <w:snapToGrid w:val="0"/>
          <w:kern w:val="0"/>
          <w:szCs w:val="21"/>
        </w:rPr>
        <w:t>测量）密切相关。残留物分析法的建议准确度随分析物浓度变化而变化。准确度应符合下述范围：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2890"/>
      </w:tblGrid>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分析物浓度</w:t>
            </w:r>
            <w:r w:rsidRPr="004A611A">
              <w:rPr>
                <w:snapToGrid w:val="0"/>
                <w:kern w:val="0"/>
                <w:szCs w:val="21"/>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准确度的可接受范围</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&lt;</w:t>
            </w:r>
            <w:r w:rsidRPr="004A611A">
              <w:rPr>
                <w:snapToGrid w:val="0"/>
                <w:kern w:val="0"/>
                <w:szCs w:val="21"/>
              </w:rPr>
              <w:t>1μg/kg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50%</w:t>
            </w:r>
            <w:r w:rsidRPr="004A611A">
              <w:rPr>
                <w:szCs w:val="21"/>
              </w:rPr>
              <w:t>～</w:t>
            </w:r>
            <w:r w:rsidRPr="004A611A">
              <w:rPr>
                <w:snapToGrid w:val="0"/>
                <w:kern w:val="0"/>
                <w:szCs w:val="21"/>
              </w:rPr>
              <w:t>120%</w:t>
            </w:r>
            <w:r w:rsidRPr="004A611A">
              <w:rPr>
                <w:snapToGrid w:val="0"/>
                <w:kern w:val="0"/>
                <w:szCs w:val="21"/>
              </w:rPr>
              <w:t>（</w:t>
            </w:r>
            <w:r w:rsidRPr="004A611A">
              <w:rPr>
                <w:snapToGrid w:val="0"/>
                <w:kern w:val="0"/>
                <w:szCs w:val="21"/>
              </w:rPr>
              <w:t>-50%</w:t>
            </w:r>
            <w:r w:rsidRPr="004A611A">
              <w:rPr>
                <w:snapToGrid w:val="0"/>
                <w:kern w:val="0"/>
                <w:szCs w:val="21"/>
              </w:rPr>
              <w:t>至</w:t>
            </w:r>
            <w:r w:rsidRPr="004A611A">
              <w:rPr>
                <w:snapToGrid w:val="0"/>
                <w:kern w:val="0"/>
                <w:szCs w:val="21"/>
              </w:rPr>
              <w:t>+20%</w:t>
            </w:r>
            <w:r w:rsidRPr="004A611A">
              <w:rPr>
                <w:snapToGrid w:val="0"/>
                <w:kern w:val="0"/>
                <w:szCs w:val="21"/>
              </w:rPr>
              <w:t>）</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1μg/kg</w:t>
            </w:r>
            <w:r w:rsidRPr="004A611A">
              <w:rPr>
                <w:snapToGrid w:val="0"/>
                <w:kern w:val="0"/>
                <w:szCs w:val="21"/>
              </w:rPr>
              <w:t>、</w:t>
            </w:r>
            <w:r w:rsidRPr="004A611A">
              <w:rPr>
                <w:snapToGrid w:val="0"/>
                <w:kern w:val="0"/>
                <w:szCs w:val="21"/>
              </w:rPr>
              <w:t>&lt;10μg/kg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60%</w:t>
            </w:r>
            <w:r w:rsidRPr="004A611A">
              <w:rPr>
                <w:szCs w:val="21"/>
              </w:rPr>
              <w:t>～</w:t>
            </w:r>
            <w:r w:rsidRPr="004A611A">
              <w:rPr>
                <w:snapToGrid w:val="0"/>
                <w:kern w:val="0"/>
                <w:szCs w:val="21"/>
              </w:rPr>
              <w:t>120%</w:t>
            </w:r>
            <w:r w:rsidRPr="004A611A">
              <w:rPr>
                <w:snapToGrid w:val="0"/>
                <w:kern w:val="0"/>
                <w:szCs w:val="21"/>
              </w:rPr>
              <w:t>（</w:t>
            </w:r>
            <w:r w:rsidRPr="004A611A">
              <w:rPr>
                <w:snapToGrid w:val="0"/>
                <w:kern w:val="0"/>
                <w:szCs w:val="21"/>
              </w:rPr>
              <w:t>-40%</w:t>
            </w:r>
            <w:r w:rsidRPr="004A611A">
              <w:rPr>
                <w:snapToGrid w:val="0"/>
                <w:kern w:val="0"/>
                <w:szCs w:val="21"/>
              </w:rPr>
              <w:t>至</w:t>
            </w:r>
            <w:r w:rsidRPr="004A611A">
              <w:rPr>
                <w:snapToGrid w:val="0"/>
                <w:kern w:val="0"/>
                <w:szCs w:val="21"/>
              </w:rPr>
              <w:t>+20%</w:t>
            </w:r>
            <w:r w:rsidRPr="004A611A">
              <w:rPr>
                <w:snapToGrid w:val="0"/>
                <w:kern w:val="0"/>
                <w:szCs w:val="21"/>
              </w:rPr>
              <w:t>）</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10μg/kg</w:t>
            </w:r>
            <w:r w:rsidRPr="004A611A">
              <w:rPr>
                <w:snapToGrid w:val="0"/>
                <w:kern w:val="0"/>
                <w:szCs w:val="21"/>
              </w:rPr>
              <w:t>、</w:t>
            </w:r>
            <w:r w:rsidRPr="004A611A">
              <w:rPr>
                <w:snapToGrid w:val="0"/>
                <w:kern w:val="0"/>
                <w:szCs w:val="21"/>
              </w:rPr>
              <w:t>&lt;100μg/kg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70%</w:t>
            </w:r>
            <w:r w:rsidRPr="004A611A">
              <w:rPr>
                <w:szCs w:val="21"/>
              </w:rPr>
              <w:t>～</w:t>
            </w:r>
            <w:r w:rsidRPr="004A611A">
              <w:rPr>
                <w:snapToGrid w:val="0"/>
                <w:kern w:val="0"/>
                <w:szCs w:val="21"/>
              </w:rPr>
              <w:t>110%</w:t>
            </w:r>
            <w:r w:rsidRPr="004A611A">
              <w:rPr>
                <w:snapToGrid w:val="0"/>
                <w:kern w:val="0"/>
                <w:szCs w:val="21"/>
              </w:rPr>
              <w:t>（</w:t>
            </w:r>
            <w:r w:rsidRPr="004A611A">
              <w:rPr>
                <w:snapToGrid w:val="0"/>
                <w:kern w:val="0"/>
                <w:szCs w:val="21"/>
              </w:rPr>
              <w:t>-30%</w:t>
            </w:r>
            <w:r w:rsidRPr="004A611A">
              <w:rPr>
                <w:snapToGrid w:val="0"/>
                <w:kern w:val="0"/>
                <w:szCs w:val="21"/>
              </w:rPr>
              <w:t>至</w:t>
            </w:r>
            <w:r w:rsidRPr="004A611A">
              <w:rPr>
                <w:snapToGrid w:val="0"/>
                <w:kern w:val="0"/>
                <w:szCs w:val="21"/>
              </w:rPr>
              <w:t>+10%</w:t>
            </w:r>
            <w:r w:rsidRPr="004A611A">
              <w:rPr>
                <w:snapToGrid w:val="0"/>
                <w:kern w:val="0"/>
                <w:szCs w:val="21"/>
              </w:rPr>
              <w:t>）</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100μg/kg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80%</w:t>
            </w:r>
            <w:r w:rsidRPr="004A611A">
              <w:rPr>
                <w:szCs w:val="21"/>
              </w:rPr>
              <w:t>～</w:t>
            </w:r>
            <w:r w:rsidRPr="004A611A">
              <w:rPr>
                <w:snapToGrid w:val="0"/>
                <w:kern w:val="0"/>
                <w:szCs w:val="21"/>
              </w:rPr>
              <w:t>110%</w:t>
            </w:r>
            <w:r w:rsidRPr="004A611A">
              <w:rPr>
                <w:snapToGrid w:val="0"/>
                <w:kern w:val="0"/>
                <w:szCs w:val="21"/>
              </w:rPr>
              <w:t>（</w:t>
            </w:r>
            <w:r w:rsidRPr="004A611A">
              <w:rPr>
                <w:snapToGrid w:val="0"/>
                <w:kern w:val="0"/>
                <w:szCs w:val="21"/>
              </w:rPr>
              <w:t>-20%</w:t>
            </w:r>
            <w:r w:rsidRPr="004A611A">
              <w:rPr>
                <w:snapToGrid w:val="0"/>
                <w:kern w:val="0"/>
                <w:szCs w:val="21"/>
              </w:rPr>
              <w:t>至</w:t>
            </w:r>
            <w:r w:rsidRPr="004A611A">
              <w:rPr>
                <w:snapToGrid w:val="0"/>
                <w:kern w:val="0"/>
                <w:szCs w:val="21"/>
              </w:rPr>
              <w:t>+10%</w:t>
            </w:r>
            <w:r w:rsidRPr="004A611A">
              <w:rPr>
                <w:snapToGrid w:val="0"/>
                <w:kern w:val="0"/>
                <w:szCs w:val="21"/>
              </w:rPr>
              <w:t>）</w:t>
            </w:r>
          </w:p>
        </w:tc>
      </w:tr>
    </w:tbl>
    <w:p w:rsidR="001843C2" w:rsidRPr="004A611A" w:rsidRDefault="001843C2" w:rsidP="001843C2">
      <w:pPr>
        <w:topLinePunct/>
        <w:adjustRightInd w:val="0"/>
        <w:snapToGrid w:val="0"/>
        <w:spacing w:line="360" w:lineRule="auto"/>
        <w:ind w:leftChars="405" w:left="850"/>
        <w:rPr>
          <w:snapToGrid w:val="0"/>
          <w:kern w:val="0"/>
          <w:szCs w:val="21"/>
        </w:rPr>
      </w:pPr>
      <w:r w:rsidRPr="004A611A">
        <w:rPr>
          <w:snapToGrid w:val="0"/>
          <w:kern w:val="0"/>
          <w:szCs w:val="21"/>
        </w:rPr>
        <w:t>*μg/kg = ng/g = ppb</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精密度是指在确定的分析条件下，相同基质中相同浓度样品的一系列测量值的分散程度。通常用质控样品的批内和批间</w:t>
      </w:r>
      <w:r w:rsidRPr="004A611A">
        <w:rPr>
          <w:color w:val="000000"/>
          <w:kern w:val="0"/>
          <w:szCs w:val="21"/>
        </w:rPr>
        <w:t>RSD</w:t>
      </w:r>
      <w:r w:rsidRPr="004A611A">
        <w:rPr>
          <w:color w:val="000000"/>
          <w:kern w:val="0"/>
          <w:szCs w:val="21"/>
        </w:rPr>
        <w:t>来考察方法的精密度。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1313"/>
        <w:gridCol w:w="1418"/>
      </w:tblGrid>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分析物浓度</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批内，</w:t>
            </w:r>
            <w:r w:rsidRPr="004A611A">
              <w:rPr>
                <w:snapToGrid w:val="0"/>
                <w:kern w:val="0"/>
                <w:szCs w:val="21"/>
              </w:rPr>
              <w:t xml:space="preserve">%CV </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批间，</w:t>
            </w:r>
            <w:r w:rsidRPr="004A611A">
              <w:rPr>
                <w:snapToGrid w:val="0"/>
                <w:kern w:val="0"/>
                <w:szCs w:val="21"/>
              </w:rPr>
              <w:t xml:space="preserve">%CV* </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snapToGrid w:val="0"/>
                <w:kern w:val="0"/>
                <w:szCs w:val="21"/>
              </w:rPr>
              <w:t>&lt;1μg/kg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30%</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45%</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1μg/kg</w:t>
            </w:r>
            <w:r w:rsidRPr="004A611A">
              <w:rPr>
                <w:snapToGrid w:val="0"/>
                <w:kern w:val="0"/>
                <w:szCs w:val="21"/>
              </w:rPr>
              <w:t>、</w:t>
            </w:r>
            <w:r w:rsidRPr="004A611A">
              <w:rPr>
                <w:snapToGrid w:val="0"/>
                <w:kern w:val="0"/>
                <w:szCs w:val="21"/>
              </w:rPr>
              <w:t>&lt;10μg/kg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25%</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32%</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10μg/kg</w:t>
            </w:r>
            <w:r w:rsidRPr="004A611A">
              <w:rPr>
                <w:snapToGrid w:val="0"/>
                <w:kern w:val="0"/>
                <w:szCs w:val="21"/>
              </w:rPr>
              <w:t>、</w:t>
            </w:r>
            <w:r w:rsidRPr="004A611A">
              <w:rPr>
                <w:snapToGrid w:val="0"/>
                <w:kern w:val="0"/>
                <w:szCs w:val="21"/>
              </w:rPr>
              <w:t>&lt;100μg/kg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15%</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23%</w:t>
            </w:r>
          </w:p>
        </w:tc>
      </w:tr>
      <w:tr w:rsidR="001843C2" w:rsidRPr="004A611A" w:rsidTr="00752DA2">
        <w:trPr>
          <w:jc w:val="center"/>
        </w:trPr>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snapToGrid w:val="0"/>
                <w:kern w:val="0"/>
                <w:szCs w:val="21"/>
              </w:rPr>
            </w:pPr>
            <w:r w:rsidRPr="004A611A">
              <w:rPr>
                <w:rFonts w:ascii="等线" w:eastAsia="等线" w:hAnsi="等线"/>
                <w:snapToGrid w:val="0"/>
                <w:kern w:val="0"/>
                <w:szCs w:val="21"/>
              </w:rPr>
              <w:t>≥</w:t>
            </w:r>
            <w:r w:rsidRPr="004A611A">
              <w:rPr>
                <w:snapToGrid w:val="0"/>
                <w:kern w:val="0"/>
                <w:szCs w:val="21"/>
              </w:rPr>
              <w:t>100μg/kg</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rFonts w:ascii="等线" w:eastAsia="等线" w:hAnsi="等线"/>
                <w:snapToGrid w:val="0"/>
                <w:kern w:val="0"/>
                <w:szCs w:val="21"/>
              </w:rPr>
            </w:pPr>
            <w:r w:rsidRPr="004A611A">
              <w:rPr>
                <w:rFonts w:ascii="等线" w:eastAsia="等线" w:hAnsi="等线"/>
                <w:snapToGrid w:val="0"/>
                <w:kern w:val="0"/>
                <w:szCs w:val="21"/>
              </w:rPr>
              <w:t>≤10%</w:t>
            </w:r>
          </w:p>
        </w:tc>
        <w:tc>
          <w:tcPr>
            <w:tcW w:w="0" w:type="auto"/>
            <w:tcBorders>
              <w:top w:val="single" w:sz="4" w:space="0" w:color="000000"/>
              <w:left w:val="single" w:sz="4" w:space="0" w:color="000000"/>
              <w:bottom w:val="single" w:sz="4" w:space="0" w:color="000000"/>
              <w:right w:val="single" w:sz="4" w:space="0" w:color="000000"/>
            </w:tcBorders>
          </w:tcPr>
          <w:p w:rsidR="001843C2" w:rsidRPr="004A611A" w:rsidRDefault="001843C2" w:rsidP="00752DA2">
            <w:pPr>
              <w:topLinePunct/>
              <w:adjustRightInd w:val="0"/>
              <w:snapToGrid w:val="0"/>
              <w:spacing w:beforeLines="15" w:before="46" w:line="360" w:lineRule="auto"/>
              <w:rPr>
                <w:rFonts w:ascii="等线" w:eastAsia="等线" w:hAnsi="等线"/>
                <w:snapToGrid w:val="0"/>
                <w:kern w:val="0"/>
                <w:szCs w:val="21"/>
              </w:rPr>
            </w:pPr>
            <w:r w:rsidRPr="004A611A">
              <w:rPr>
                <w:rFonts w:ascii="等线" w:eastAsia="等线" w:hAnsi="等线"/>
                <w:snapToGrid w:val="0"/>
                <w:kern w:val="0"/>
                <w:szCs w:val="21"/>
              </w:rPr>
              <w:t>≤16%</w:t>
            </w:r>
          </w:p>
        </w:tc>
      </w:tr>
    </w:tbl>
    <w:p w:rsidR="001843C2" w:rsidRPr="004A611A" w:rsidRDefault="001843C2" w:rsidP="001843C2">
      <w:pPr>
        <w:topLinePunct/>
        <w:adjustRightInd w:val="0"/>
        <w:snapToGrid w:val="0"/>
        <w:spacing w:beforeLines="15" w:before="46" w:line="360" w:lineRule="auto"/>
        <w:ind w:firstLineChars="200" w:firstLine="420"/>
        <w:rPr>
          <w:snapToGrid w:val="0"/>
          <w:kern w:val="0"/>
          <w:szCs w:val="21"/>
        </w:rPr>
      </w:pPr>
      <w:r w:rsidRPr="004A611A">
        <w:rPr>
          <w:snapToGrid w:val="0"/>
          <w:kern w:val="0"/>
          <w:szCs w:val="21"/>
        </w:rPr>
        <w:t>*</w:t>
      </w:r>
      <w:r w:rsidRPr="004A611A">
        <w:rPr>
          <w:snapToGrid w:val="0"/>
          <w:kern w:val="0"/>
          <w:szCs w:val="21"/>
        </w:rPr>
        <w:t>按照</w:t>
      </w:r>
      <w:r w:rsidRPr="004A611A">
        <w:rPr>
          <w:snapToGrid w:val="0"/>
          <w:kern w:val="0"/>
          <w:szCs w:val="21"/>
        </w:rPr>
        <w:t>Horwitz</w:t>
      </w:r>
      <w:r w:rsidRPr="004A611A">
        <w:rPr>
          <w:snapToGrid w:val="0"/>
          <w:kern w:val="0"/>
          <w:szCs w:val="21"/>
        </w:rPr>
        <w:t>公式计算：</w:t>
      </w:r>
      <w:r w:rsidRPr="004A611A">
        <w:rPr>
          <w:snapToGrid w:val="0"/>
          <w:kern w:val="0"/>
          <w:szCs w:val="21"/>
        </w:rPr>
        <w:t>CV=2</w:t>
      </w:r>
      <w:r w:rsidRPr="004A611A">
        <w:rPr>
          <w:rFonts w:hint="eastAsia"/>
          <w:snapToGrid w:val="0"/>
          <w:kern w:val="0"/>
          <w:szCs w:val="21"/>
          <w:vertAlign w:val="superscript"/>
        </w:rPr>
        <w:t>(</w:t>
      </w:r>
      <w:r w:rsidRPr="004A611A">
        <w:rPr>
          <w:snapToGrid w:val="0"/>
          <w:kern w:val="0"/>
          <w:szCs w:val="21"/>
          <w:vertAlign w:val="superscript"/>
        </w:rPr>
        <w:t>1-0.5logC</w:t>
      </w:r>
      <w:r w:rsidRPr="004A611A">
        <w:rPr>
          <w:rFonts w:hint="eastAsia"/>
          <w:snapToGrid w:val="0"/>
          <w:kern w:val="0"/>
          <w:szCs w:val="21"/>
          <w:vertAlign w:val="superscript"/>
        </w:rPr>
        <w:t>)</w:t>
      </w:r>
      <w:r w:rsidRPr="004A611A">
        <w:rPr>
          <w:snapToGrid w:val="0"/>
          <w:kern w:val="0"/>
          <w:szCs w:val="21"/>
        </w:rPr>
        <w:t>，式中，</w:t>
      </w:r>
      <w:r w:rsidRPr="004A611A">
        <w:rPr>
          <w:snapToGrid w:val="0"/>
          <w:kern w:val="0"/>
          <w:szCs w:val="21"/>
        </w:rPr>
        <w:t>C=</w:t>
      </w:r>
      <w:r w:rsidRPr="004A611A">
        <w:rPr>
          <w:snapToGrid w:val="0"/>
          <w:kern w:val="0"/>
          <w:szCs w:val="21"/>
        </w:rPr>
        <w:t>以小数表示的浓度（例如，</w:t>
      </w:r>
      <w:r w:rsidRPr="004A611A">
        <w:rPr>
          <w:snapToGrid w:val="0"/>
          <w:kern w:val="0"/>
          <w:szCs w:val="21"/>
        </w:rPr>
        <w:t>1μg/kg</w:t>
      </w:r>
      <w:r w:rsidRPr="004A611A">
        <w:rPr>
          <w:snapToGrid w:val="0"/>
          <w:kern w:val="0"/>
          <w:szCs w:val="21"/>
        </w:rPr>
        <w:t>输入为</w:t>
      </w:r>
      <w:r w:rsidRPr="004A611A">
        <w:rPr>
          <w:snapToGrid w:val="0"/>
          <w:kern w:val="0"/>
          <w:szCs w:val="21"/>
        </w:rPr>
        <w:t>10</w:t>
      </w:r>
      <w:r w:rsidRPr="004A611A">
        <w:rPr>
          <w:snapToGrid w:val="0"/>
          <w:kern w:val="0"/>
          <w:szCs w:val="21"/>
          <w:vertAlign w:val="superscript"/>
        </w:rPr>
        <w:t>-9</w:t>
      </w:r>
      <w:r w:rsidRPr="004A611A">
        <w:rPr>
          <w:snapToGrid w:val="0"/>
          <w:kern w:val="0"/>
          <w:szCs w:val="21"/>
        </w:rPr>
        <w:t>）。</w:t>
      </w:r>
    </w:p>
    <w:p w:rsidR="001843C2" w:rsidRPr="004A611A" w:rsidRDefault="001843C2" w:rsidP="001843C2">
      <w:pPr>
        <w:autoSpaceDE w:val="0"/>
        <w:autoSpaceDN w:val="0"/>
        <w:adjustRightInd w:val="0"/>
        <w:snapToGrid w:val="0"/>
        <w:spacing w:line="360" w:lineRule="auto"/>
        <w:ind w:firstLineChars="200" w:firstLine="420"/>
        <w:rPr>
          <w:snapToGrid w:val="0"/>
          <w:kern w:val="0"/>
          <w:szCs w:val="21"/>
        </w:rPr>
      </w:pPr>
      <w:r w:rsidRPr="004A611A">
        <w:rPr>
          <w:color w:val="000000"/>
          <w:kern w:val="0"/>
          <w:szCs w:val="21"/>
        </w:rPr>
        <w:t>一般要求选择高、中、低</w:t>
      </w:r>
      <w:r w:rsidRPr="004A611A">
        <w:rPr>
          <w:color w:val="000000"/>
          <w:kern w:val="0"/>
          <w:szCs w:val="21"/>
        </w:rPr>
        <w:t>3</w:t>
      </w:r>
      <w:r w:rsidRPr="004A611A">
        <w:rPr>
          <w:color w:val="000000"/>
          <w:kern w:val="0"/>
          <w:szCs w:val="21"/>
        </w:rPr>
        <w:t>个浓度的质控样品同时进行方法的精密度和准确度考察。低浓度选择标准曲线的最低浓度；高浓度接近于标准曲线的上限；中间选一个浓度。在测定批内精密度时，每一浓度至少制备并测定</w:t>
      </w:r>
      <w:r w:rsidRPr="004A611A">
        <w:rPr>
          <w:color w:val="000000"/>
          <w:kern w:val="0"/>
          <w:szCs w:val="21"/>
        </w:rPr>
        <w:t>5</w:t>
      </w:r>
      <w:r w:rsidRPr="004A611A">
        <w:rPr>
          <w:color w:val="000000"/>
          <w:kern w:val="0"/>
          <w:szCs w:val="21"/>
        </w:rPr>
        <w:t>个样品。为获得批间精密度应至少在不同天连续制备并测定</w:t>
      </w:r>
      <w:r w:rsidRPr="004A611A">
        <w:rPr>
          <w:color w:val="000000"/>
          <w:kern w:val="0"/>
          <w:szCs w:val="21"/>
        </w:rPr>
        <w:t>3</w:t>
      </w:r>
      <w:r w:rsidRPr="004A611A">
        <w:rPr>
          <w:color w:val="000000"/>
          <w:kern w:val="0"/>
          <w:szCs w:val="21"/>
        </w:rPr>
        <w:t>个分析批，至少</w:t>
      </w:r>
      <w:r w:rsidRPr="004A611A">
        <w:rPr>
          <w:color w:val="000000"/>
          <w:kern w:val="0"/>
          <w:szCs w:val="21"/>
        </w:rPr>
        <w:t>45</w:t>
      </w:r>
      <w:r w:rsidRPr="004A611A">
        <w:rPr>
          <w:color w:val="000000"/>
          <w:kern w:val="0"/>
          <w:szCs w:val="21"/>
        </w:rPr>
        <w:t>个样品。</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rFonts w:eastAsia="黑体"/>
          <w:szCs w:val="21"/>
        </w:rPr>
        <w:t>5</w:t>
      </w:r>
      <w:r w:rsidRPr="004A611A">
        <w:rPr>
          <w:rFonts w:eastAsia="黑体" w:hint="eastAsia"/>
          <w:szCs w:val="21"/>
        </w:rPr>
        <w:t>．</w:t>
      </w:r>
      <w:r w:rsidRPr="004A611A">
        <w:rPr>
          <w:rFonts w:eastAsia="黑体"/>
          <w:szCs w:val="21"/>
        </w:rPr>
        <w:t>样品稳定性</w:t>
      </w:r>
      <w:r w:rsidRPr="004A611A">
        <w:rPr>
          <w:color w:val="000000"/>
          <w:kern w:val="0"/>
          <w:szCs w:val="21"/>
        </w:rPr>
        <w:t xml:space="preserve">  </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根据具体情况，对含药生物样品在室温、冰冻和冻融条件下以及不同存放时间进行稳定性考察，以确定生物样品的存放条件和时间。还应注意考察储备液的稳定性以及样品处理后</w:t>
      </w:r>
      <w:r w:rsidRPr="004A611A">
        <w:rPr>
          <w:color w:val="000000"/>
          <w:kern w:val="0"/>
          <w:szCs w:val="21"/>
        </w:rPr>
        <w:lastRenderedPageBreak/>
        <w:t>的溶液中分析物的稳定性，以保证检测结果的准确性和重现性。</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w:t>
      </w:r>
      <w:r w:rsidRPr="004A611A">
        <w:rPr>
          <w:color w:val="000000"/>
          <w:kern w:val="0"/>
          <w:szCs w:val="21"/>
        </w:rPr>
        <w:t>1</w:t>
      </w:r>
      <w:r w:rsidRPr="004A611A">
        <w:rPr>
          <w:color w:val="000000"/>
          <w:kern w:val="0"/>
          <w:szCs w:val="21"/>
        </w:rPr>
        <w:t>）基质中稳定性</w:t>
      </w:r>
    </w:p>
    <w:p w:rsidR="001843C2" w:rsidRPr="004A611A" w:rsidRDefault="001843C2" w:rsidP="001843C2">
      <w:pPr>
        <w:topLinePunct/>
        <w:adjustRightInd w:val="0"/>
        <w:snapToGrid w:val="0"/>
        <w:spacing w:line="360" w:lineRule="auto"/>
        <w:ind w:firstLineChars="200" w:firstLine="420"/>
        <w:rPr>
          <w:color w:val="000000"/>
          <w:kern w:val="0"/>
          <w:szCs w:val="21"/>
        </w:rPr>
      </w:pPr>
      <w:r w:rsidRPr="004A611A">
        <w:rPr>
          <w:color w:val="000000"/>
          <w:kern w:val="0"/>
          <w:szCs w:val="21"/>
        </w:rPr>
        <w:t>残留物消除研究中采集的样品（组织、乳汁、蛋或蜂蜜）一般在分析前冷冻储存。分析前需确定这些样品可在拟定储存条件下储存的时间。作为验证程序的一部分或作为单独研究时，需进行稳定性研究确定储存条件（如</w:t>
      </w:r>
      <w:smartTag w:uri="urn:schemas-microsoft-com:office:smarttags" w:element="chmetcnv">
        <w:smartTagPr>
          <w:attr w:name="TCSC" w:val="0"/>
          <w:attr w:name="NumberType" w:val="1"/>
          <w:attr w:name="Negative" w:val="False"/>
          <w:attr w:name="HasSpace" w:val="False"/>
          <w:attr w:name="SourceValue" w:val="4"/>
          <w:attr w:name="UnitName" w:val="℃"/>
        </w:smartTagPr>
        <w:r w:rsidRPr="004A611A">
          <w:rPr>
            <w:color w:val="000000"/>
            <w:kern w:val="0"/>
            <w:szCs w:val="21"/>
          </w:rPr>
          <w:t>4</w:t>
        </w:r>
        <w:r w:rsidRPr="004A611A">
          <w:rPr>
            <w:rFonts w:ascii="宋体" w:hAnsi="宋体" w:cs="宋体" w:hint="eastAsia"/>
            <w:color w:val="000000"/>
            <w:kern w:val="0"/>
            <w:szCs w:val="21"/>
          </w:rPr>
          <w:t>℃</w:t>
        </w:r>
      </w:smartTag>
      <w:r w:rsidRPr="004A611A">
        <w:rPr>
          <w:color w:val="000000"/>
          <w:kern w:val="0"/>
          <w:szCs w:val="21"/>
        </w:rPr>
        <w:t>、</w:t>
      </w:r>
      <w:smartTag w:uri="urn:schemas-microsoft-com:office:smarttags" w:element="chmetcnv">
        <w:smartTagPr>
          <w:attr w:name="TCSC" w:val="0"/>
          <w:attr w:name="NumberType" w:val="1"/>
          <w:attr w:name="Negative" w:val="True"/>
          <w:attr w:name="HasSpace" w:val="False"/>
          <w:attr w:name="SourceValue" w:val="20"/>
          <w:attr w:name="UnitName" w:val="℃"/>
        </w:smartTagPr>
        <w:r w:rsidRPr="004A611A">
          <w:rPr>
            <w:color w:val="000000"/>
            <w:kern w:val="0"/>
            <w:szCs w:val="21"/>
          </w:rPr>
          <w:t>-20</w:t>
        </w:r>
        <w:r w:rsidRPr="004A611A">
          <w:rPr>
            <w:rFonts w:ascii="宋体" w:hAnsi="宋体" w:cs="宋体" w:hint="eastAsia"/>
            <w:color w:val="000000"/>
            <w:kern w:val="0"/>
            <w:szCs w:val="21"/>
          </w:rPr>
          <w:t>℃</w:t>
        </w:r>
      </w:smartTag>
      <w:r w:rsidRPr="004A611A">
        <w:rPr>
          <w:color w:val="000000"/>
          <w:kern w:val="0"/>
          <w:szCs w:val="21"/>
        </w:rPr>
        <w:t>或</w:t>
      </w:r>
      <w:smartTag w:uri="urn:schemas-microsoft-com:office:smarttags" w:element="chmetcnv">
        <w:smartTagPr>
          <w:attr w:name="TCSC" w:val="0"/>
          <w:attr w:name="NumberType" w:val="1"/>
          <w:attr w:name="Negative" w:val="True"/>
          <w:attr w:name="HasSpace" w:val="False"/>
          <w:attr w:name="SourceValue" w:val="70"/>
          <w:attr w:name="UnitName" w:val="℃"/>
        </w:smartTagPr>
        <w:r w:rsidRPr="004A611A">
          <w:rPr>
            <w:color w:val="000000"/>
            <w:kern w:val="0"/>
            <w:szCs w:val="21"/>
          </w:rPr>
          <w:t>-70</w:t>
        </w:r>
        <w:r w:rsidRPr="004A611A">
          <w:rPr>
            <w:rFonts w:ascii="宋体" w:hAnsi="宋体" w:cs="宋体" w:hint="eastAsia"/>
            <w:color w:val="000000"/>
            <w:kern w:val="0"/>
            <w:szCs w:val="21"/>
          </w:rPr>
          <w:t>℃</w:t>
        </w:r>
      </w:smartTag>
      <w:r w:rsidRPr="004A611A">
        <w:rPr>
          <w:color w:val="000000"/>
          <w:kern w:val="0"/>
          <w:szCs w:val="21"/>
        </w:rPr>
        <w:t>）及样品分析前储存时间。</w:t>
      </w:r>
    </w:p>
    <w:p w:rsidR="001843C2" w:rsidRPr="004A611A" w:rsidRDefault="001843C2" w:rsidP="001843C2">
      <w:pPr>
        <w:topLinePunct/>
        <w:adjustRightInd w:val="0"/>
        <w:snapToGrid w:val="0"/>
        <w:spacing w:line="360" w:lineRule="auto"/>
        <w:ind w:firstLineChars="200" w:firstLine="420"/>
        <w:rPr>
          <w:color w:val="000000"/>
          <w:kern w:val="0"/>
          <w:szCs w:val="21"/>
        </w:rPr>
      </w:pPr>
      <w:r w:rsidRPr="004A611A">
        <w:rPr>
          <w:color w:val="000000"/>
          <w:kern w:val="0"/>
          <w:szCs w:val="21"/>
        </w:rPr>
        <w:t>应向样品添加已知量的分析物，并在适当条件下储存。可在规定时间分析样品（例如，开始时、</w:t>
      </w:r>
      <w:r w:rsidRPr="004A611A">
        <w:rPr>
          <w:color w:val="000000"/>
          <w:kern w:val="0"/>
          <w:szCs w:val="21"/>
        </w:rPr>
        <w:t>1</w:t>
      </w:r>
      <w:r w:rsidRPr="004A611A">
        <w:rPr>
          <w:color w:val="000000"/>
          <w:kern w:val="0"/>
          <w:szCs w:val="21"/>
        </w:rPr>
        <w:t>周、</w:t>
      </w:r>
      <w:r w:rsidRPr="004A611A">
        <w:rPr>
          <w:color w:val="000000"/>
          <w:kern w:val="0"/>
          <w:szCs w:val="21"/>
        </w:rPr>
        <w:t>1</w:t>
      </w:r>
      <w:r w:rsidRPr="004A611A">
        <w:rPr>
          <w:color w:val="000000"/>
          <w:kern w:val="0"/>
          <w:szCs w:val="21"/>
        </w:rPr>
        <w:t>个月、</w:t>
      </w:r>
      <w:r w:rsidRPr="004A611A">
        <w:rPr>
          <w:color w:val="000000"/>
          <w:kern w:val="0"/>
          <w:szCs w:val="21"/>
        </w:rPr>
        <w:t>3</w:t>
      </w:r>
      <w:r w:rsidRPr="004A611A">
        <w:rPr>
          <w:color w:val="000000"/>
          <w:kern w:val="0"/>
          <w:szCs w:val="21"/>
        </w:rPr>
        <w:t>个月）。如果冻存样品，应进行冻融研究（至少冻融</w:t>
      </w:r>
      <w:r w:rsidRPr="004A611A">
        <w:rPr>
          <w:color w:val="000000"/>
          <w:kern w:val="0"/>
          <w:szCs w:val="21"/>
        </w:rPr>
        <w:t>3</w:t>
      </w:r>
      <w:r w:rsidRPr="004A611A">
        <w:rPr>
          <w:color w:val="000000"/>
          <w:kern w:val="0"/>
          <w:szCs w:val="21"/>
        </w:rPr>
        <w:t>次，每天</w:t>
      </w:r>
      <w:r w:rsidRPr="004A611A">
        <w:rPr>
          <w:color w:val="000000"/>
          <w:kern w:val="0"/>
          <w:szCs w:val="21"/>
        </w:rPr>
        <w:t>1</w:t>
      </w:r>
      <w:r w:rsidRPr="004A611A">
        <w:rPr>
          <w:color w:val="000000"/>
          <w:kern w:val="0"/>
          <w:szCs w:val="21"/>
        </w:rPr>
        <w:t>次）。或者，可在初始分析中使用真实样品测定起始浓度。基质中稳定性评估的建议方案为对接近验证范围上限和下限的</w:t>
      </w:r>
      <w:r w:rsidRPr="004A611A">
        <w:rPr>
          <w:color w:val="000000"/>
          <w:kern w:val="0"/>
          <w:szCs w:val="21"/>
        </w:rPr>
        <w:t>2</w:t>
      </w:r>
      <w:r w:rsidRPr="004A611A">
        <w:rPr>
          <w:color w:val="000000"/>
          <w:kern w:val="0"/>
          <w:szCs w:val="21"/>
        </w:rPr>
        <w:t>个不同浓度重复分析</w:t>
      </w:r>
      <w:r w:rsidRPr="004A611A">
        <w:rPr>
          <w:color w:val="000000"/>
          <w:kern w:val="0"/>
          <w:szCs w:val="21"/>
        </w:rPr>
        <w:t>3</w:t>
      </w:r>
      <w:r w:rsidRPr="004A611A">
        <w:rPr>
          <w:color w:val="000000"/>
          <w:kern w:val="0"/>
          <w:szCs w:val="21"/>
        </w:rPr>
        <w:t>次。在确立的准确度验收标准内，如果在规定稳定性时间点得到的平均浓度与初始分析或刚刚添加对照样品的分析结果一致，判定基质中稳定性为可接受。</w:t>
      </w:r>
    </w:p>
    <w:p w:rsidR="001843C2" w:rsidRPr="004A611A" w:rsidRDefault="001843C2" w:rsidP="001843C2">
      <w:pPr>
        <w:topLinePunct/>
        <w:adjustRightInd w:val="0"/>
        <w:snapToGrid w:val="0"/>
        <w:spacing w:line="360" w:lineRule="auto"/>
        <w:ind w:firstLineChars="200" w:firstLine="420"/>
        <w:rPr>
          <w:color w:val="000000"/>
          <w:kern w:val="0"/>
          <w:szCs w:val="21"/>
        </w:rPr>
      </w:pPr>
      <w:r w:rsidRPr="004A611A">
        <w:rPr>
          <w:color w:val="000000"/>
          <w:kern w:val="0"/>
          <w:szCs w:val="21"/>
        </w:rPr>
        <w:t>（</w:t>
      </w:r>
      <w:r w:rsidRPr="004A611A">
        <w:rPr>
          <w:color w:val="000000"/>
          <w:kern w:val="0"/>
          <w:szCs w:val="21"/>
        </w:rPr>
        <w:t>2</w:t>
      </w:r>
      <w:r w:rsidRPr="004A611A">
        <w:rPr>
          <w:color w:val="000000"/>
          <w:kern w:val="0"/>
          <w:szCs w:val="21"/>
        </w:rPr>
        <w:t>）处理样品的稳定性</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样品一般处理</w:t>
      </w:r>
      <w:r w:rsidRPr="004A611A">
        <w:rPr>
          <w:color w:val="000000"/>
          <w:kern w:val="0"/>
          <w:szCs w:val="21"/>
        </w:rPr>
        <w:t>1</w:t>
      </w:r>
      <w:r w:rsidRPr="004A611A">
        <w:rPr>
          <w:color w:val="000000"/>
          <w:kern w:val="0"/>
          <w:szCs w:val="21"/>
        </w:rPr>
        <w:t>天并在次日分析，如果出现仪器故障，可多储存几天，如</w:t>
      </w:r>
      <w:r w:rsidRPr="004A611A">
        <w:rPr>
          <w:color w:val="000000"/>
          <w:kern w:val="0"/>
          <w:szCs w:val="21"/>
        </w:rPr>
        <w:t>1</w:t>
      </w:r>
      <w:r w:rsidRPr="004A611A">
        <w:rPr>
          <w:color w:val="000000"/>
          <w:kern w:val="0"/>
          <w:szCs w:val="21"/>
        </w:rPr>
        <w:t>周。必要时可测定在处理样品储存条件下的稳定性。储存条件示例为室温储存</w:t>
      </w:r>
      <w:r w:rsidRPr="004A611A">
        <w:rPr>
          <w:color w:val="000000"/>
          <w:kern w:val="0"/>
          <w:szCs w:val="21"/>
        </w:rPr>
        <w:t>4</w:t>
      </w:r>
      <w:r w:rsidRPr="004A611A">
        <w:rPr>
          <w:rFonts w:ascii="宋体" w:hAnsi="宋体" w:hint="eastAsia"/>
          <w:color w:val="000000"/>
          <w:kern w:val="0"/>
          <w:szCs w:val="21"/>
        </w:rPr>
        <w:t>～</w:t>
      </w:r>
      <w:r w:rsidRPr="004A611A">
        <w:rPr>
          <w:color w:val="000000"/>
          <w:kern w:val="0"/>
          <w:szCs w:val="21"/>
        </w:rPr>
        <w:t>24</w:t>
      </w:r>
      <w:r w:rsidRPr="004A611A">
        <w:rPr>
          <w:color w:val="000000"/>
          <w:kern w:val="0"/>
          <w:szCs w:val="21"/>
        </w:rPr>
        <w:t>小时和</w:t>
      </w:r>
      <w:smartTag w:uri="urn:schemas-microsoft-com:office:smarttags" w:element="chmetcnv">
        <w:smartTagPr>
          <w:attr w:name="UnitName" w:val="℃"/>
          <w:attr w:name="SourceValue" w:val="4"/>
          <w:attr w:name="HasSpace" w:val="False"/>
          <w:attr w:name="Negative" w:val="False"/>
          <w:attr w:name="NumberType" w:val="1"/>
          <w:attr w:name="TCSC" w:val="0"/>
        </w:smartTagPr>
        <w:r w:rsidRPr="004A611A">
          <w:rPr>
            <w:color w:val="000000"/>
            <w:kern w:val="0"/>
            <w:szCs w:val="21"/>
          </w:rPr>
          <w:t>4</w:t>
        </w:r>
        <w:r w:rsidRPr="004A611A">
          <w:rPr>
            <w:rFonts w:ascii="宋体" w:hAnsi="宋体" w:cs="宋体" w:hint="eastAsia"/>
            <w:color w:val="000000"/>
            <w:kern w:val="0"/>
            <w:szCs w:val="21"/>
          </w:rPr>
          <w:t>℃</w:t>
        </w:r>
      </w:smartTag>
      <w:r w:rsidRPr="004A611A">
        <w:rPr>
          <w:color w:val="000000"/>
          <w:kern w:val="0"/>
          <w:szCs w:val="21"/>
        </w:rPr>
        <w:t>冷藏</w:t>
      </w:r>
      <w:r w:rsidRPr="004A611A">
        <w:rPr>
          <w:color w:val="000000"/>
          <w:kern w:val="0"/>
          <w:szCs w:val="21"/>
        </w:rPr>
        <w:t>48</w:t>
      </w:r>
      <w:r w:rsidRPr="004A611A">
        <w:rPr>
          <w:color w:val="000000"/>
          <w:kern w:val="0"/>
          <w:szCs w:val="21"/>
        </w:rPr>
        <w:t>小时等。可按照方法要求研究其他储存条件。处理样品稳定性评估的建议方案为对接近验证范围上限和下限的</w:t>
      </w:r>
      <w:r w:rsidRPr="004A611A">
        <w:rPr>
          <w:color w:val="000000"/>
          <w:kern w:val="0"/>
          <w:szCs w:val="21"/>
        </w:rPr>
        <w:t>2</w:t>
      </w:r>
      <w:r w:rsidRPr="004A611A">
        <w:rPr>
          <w:color w:val="000000"/>
          <w:kern w:val="0"/>
          <w:szCs w:val="21"/>
        </w:rPr>
        <w:t>个不同浓度重复分析</w:t>
      </w:r>
      <w:r w:rsidRPr="004A611A">
        <w:rPr>
          <w:color w:val="000000"/>
          <w:kern w:val="0"/>
          <w:szCs w:val="21"/>
        </w:rPr>
        <w:t>3</w:t>
      </w:r>
      <w:r w:rsidRPr="004A611A">
        <w:rPr>
          <w:color w:val="000000"/>
          <w:kern w:val="0"/>
          <w:szCs w:val="21"/>
        </w:rPr>
        <w:t>次。在确立的准确度验收标准内，如果在规定稳定性时间点得到的平均浓度与初始分析或刚刚添加并处理的对照样品分析结果一致，判定处理样品的稳定性为可接受。</w:t>
      </w:r>
    </w:p>
    <w:p w:rsidR="001843C2" w:rsidRPr="004A611A" w:rsidRDefault="001843C2" w:rsidP="001843C2">
      <w:pPr>
        <w:autoSpaceDE w:val="0"/>
        <w:autoSpaceDN w:val="0"/>
        <w:adjustRightInd w:val="0"/>
        <w:snapToGrid w:val="0"/>
        <w:spacing w:line="360" w:lineRule="auto"/>
        <w:ind w:firstLineChars="200" w:firstLine="420"/>
        <w:rPr>
          <w:rFonts w:eastAsia="黑体"/>
          <w:szCs w:val="21"/>
        </w:rPr>
      </w:pPr>
      <w:r w:rsidRPr="004A611A">
        <w:rPr>
          <w:rFonts w:eastAsia="黑体"/>
          <w:szCs w:val="21"/>
        </w:rPr>
        <w:t>6</w:t>
      </w:r>
      <w:r w:rsidRPr="004A611A">
        <w:rPr>
          <w:rFonts w:eastAsia="黑体" w:hint="eastAsia"/>
          <w:szCs w:val="21"/>
        </w:rPr>
        <w:t>．</w:t>
      </w:r>
      <w:r w:rsidRPr="004A611A">
        <w:rPr>
          <w:rFonts w:eastAsia="黑体"/>
          <w:szCs w:val="21"/>
        </w:rPr>
        <w:t>微生物学分析</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上述分析方法确证的很多参数和原则也适用于微生物学或免疫学分析，但在方法确证中应考虑到它们的一些特殊之处。微生物学或免疫学分析的标准曲线本质上是非线性的，所以应采用比化学分析更多的浓度点来建立标准曲线。结果的准确度是关键因素，如果重复测定能够改善准确度，则应在方法确证和未知样品测定中采用同样的步骤。</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微生物学或免疫学分析方法确证实验应包括在几天内进行的</w:t>
      </w:r>
      <w:r w:rsidRPr="004A611A">
        <w:rPr>
          <w:color w:val="000000"/>
          <w:kern w:val="0"/>
          <w:szCs w:val="21"/>
        </w:rPr>
        <w:t>6</w:t>
      </w:r>
      <w:r w:rsidRPr="004A611A">
        <w:rPr>
          <w:color w:val="000000"/>
          <w:kern w:val="0"/>
          <w:szCs w:val="21"/>
        </w:rPr>
        <w:t>个分析批，每个分析批包括</w:t>
      </w:r>
      <w:r w:rsidRPr="004A611A">
        <w:rPr>
          <w:color w:val="000000"/>
          <w:kern w:val="0"/>
          <w:szCs w:val="21"/>
        </w:rPr>
        <w:t>4</w:t>
      </w:r>
      <w:r w:rsidRPr="004A611A">
        <w:rPr>
          <w:color w:val="000000"/>
          <w:kern w:val="0"/>
          <w:szCs w:val="21"/>
        </w:rPr>
        <w:t>个浓度（</w:t>
      </w:r>
      <w:r w:rsidRPr="004A611A">
        <w:rPr>
          <w:color w:val="000000"/>
          <w:kern w:val="0"/>
          <w:szCs w:val="21"/>
        </w:rPr>
        <w:t>LOQ</w:t>
      </w:r>
      <w:r w:rsidRPr="004A611A">
        <w:rPr>
          <w:color w:val="000000"/>
          <w:kern w:val="0"/>
          <w:szCs w:val="21"/>
        </w:rPr>
        <w:t>，低、中、高浓度）的质控双样本。</w:t>
      </w:r>
    </w:p>
    <w:p w:rsidR="001843C2" w:rsidRPr="004A611A" w:rsidRDefault="001843C2" w:rsidP="001843C2">
      <w:pPr>
        <w:autoSpaceDE w:val="0"/>
        <w:autoSpaceDN w:val="0"/>
        <w:adjustRightInd w:val="0"/>
        <w:snapToGrid w:val="0"/>
        <w:spacing w:line="360" w:lineRule="auto"/>
        <w:ind w:firstLineChars="200" w:firstLine="420"/>
        <w:rPr>
          <w:rFonts w:eastAsia="黑体"/>
          <w:szCs w:val="21"/>
        </w:rPr>
      </w:pPr>
      <w:r w:rsidRPr="004A611A">
        <w:rPr>
          <w:rFonts w:eastAsia="黑体"/>
          <w:szCs w:val="21"/>
        </w:rPr>
        <w:t>7</w:t>
      </w:r>
      <w:r w:rsidRPr="004A611A">
        <w:rPr>
          <w:rFonts w:eastAsia="黑体" w:hint="eastAsia"/>
          <w:szCs w:val="21"/>
        </w:rPr>
        <w:t>．</w:t>
      </w:r>
      <w:r w:rsidRPr="004A611A">
        <w:rPr>
          <w:rFonts w:eastAsia="黑体"/>
          <w:szCs w:val="21"/>
        </w:rPr>
        <w:t>质量控制</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应在生物样本分析方法确证完成以后开始测定未知样品。在测定生物样品中的药物浓度时应进行质量控制，以保证所建立的方法在实际应用中的可靠性。推荐由独立的分析人员配制不同浓度的质控样品对分析方法进行考核。</w:t>
      </w:r>
    </w:p>
    <w:p w:rsidR="001843C2" w:rsidRPr="004A611A" w:rsidRDefault="001843C2" w:rsidP="001843C2">
      <w:pPr>
        <w:autoSpaceDE w:val="0"/>
        <w:autoSpaceDN w:val="0"/>
        <w:adjustRightInd w:val="0"/>
        <w:snapToGrid w:val="0"/>
        <w:spacing w:line="360" w:lineRule="auto"/>
        <w:ind w:firstLineChars="200" w:firstLine="420"/>
        <w:rPr>
          <w:color w:val="000000"/>
          <w:kern w:val="0"/>
          <w:szCs w:val="21"/>
        </w:rPr>
      </w:pPr>
      <w:r w:rsidRPr="004A611A">
        <w:rPr>
          <w:color w:val="000000"/>
          <w:kern w:val="0"/>
          <w:szCs w:val="21"/>
        </w:rPr>
        <w:t>每个未知样品一般测定一次，必要时可进行复测。来自同一个体的生物样品最好在同一批中测定。每个分析批生物样品测定时应建立新的标准曲线，并随行测定高、中、低</w:t>
      </w:r>
      <w:r w:rsidRPr="004A611A">
        <w:rPr>
          <w:color w:val="000000"/>
          <w:kern w:val="0"/>
          <w:szCs w:val="21"/>
        </w:rPr>
        <w:t>3</w:t>
      </w:r>
      <w:r w:rsidRPr="004A611A">
        <w:rPr>
          <w:color w:val="000000"/>
          <w:kern w:val="0"/>
          <w:szCs w:val="21"/>
        </w:rPr>
        <w:t>个浓度的质控样品。每个浓度至少双样本，并应均匀分布在未知样品测试序列中。当一个分析批中未知样品数目较多时，应增加各浓度质控样品数，使质控样品数大于未知样品总数的</w:t>
      </w:r>
      <w:r w:rsidRPr="004A611A">
        <w:rPr>
          <w:color w:val="000000"/>
          <w:kern w:val="0"/>
          <w:szCs w:val="21"/>
        </w:rPr>
        <w:t>5%</w:t>
      </w:r>
      <w:r w:rsidRPr="004A611A">
        <w:rPr>
          <w:color w:val="000000"/>
          <w:kern w:val="0"/>
          <w:szCs w:val="21"/>
        </w:rPr>
        <w:t>。质控样品测定结果的偏差一般应小于</w:t>
      </w:r>
      <w:r w:rsidRPr="004A611A">
        <w:rPr>
          <w:color w:val="000000"/>
          <w:kern w:val="0"/>
          <w:szCs w:val="21"/>
        </w:rPr>
        <w:t>15%</w:t>
      </w:r>
      <w:r w:rsidRPr="004A611A">
        <w:rPr>
          <w:color w:val="000000"/>
          <w:kern w:val="0"/>
          <w:szCs w:val="21"/>
        </w:rPr>
        <w:t>，低浓度点偏差一般应小于</w:t>
      </w:r>
      <w:r w:rsidRPr="004A611A">
        <w:rPr>
          <w:color w:val="000000"/>
          <w:kern w:val="0"/>
          <w:szCs w:val="21"/>
        </w:rPr>
        <w:t>20%</w:t>
      </w:r>
      <w:r w:rsidRPr="004A611A">
        <w:rPr>
          <w:color w:val="000000"/>
          <w:kern w:val="0"/>
          <w:szCs w:val="21"/>
        </w:rPr>
        <w:t>。如质控样品测定</w:t>
      </w:r>
      <w:r w:rsidRPr="004A611A">
        <w:rPr>
          <w:color w:val="000000"/>
          <w:kern w:val="0"/>
          <w:szCs w:val="21"/>
        </w:rPr>
        <w:lastRenderedPageBreak/>
        <w:t>结果不符合上述要求，则该分析批样品测试结果不可采用。</w:t>
      </w:r>
    </w:p>
    <w:p w:rsidR="001843C2" w:rsidRPr="004A611A" w:rsidRDefault="001843C2" w:rsidP="001843C2">
      <w:pPr>
        <w:adjustRightInd w:val="0"/>
        <w:snapToGrid w:val="0"/>
        <w:spacing w:line="360" w:lineRule="auto"/>
        <w:rPr>
          <w:color w:val="000000"/>
          <w:kern w:val="0"/>
          <w:szCs w:val="21"/>
        </w:rPr>
      </w:pPr>
      <w:r w:rsidRPr="004A611A">
        <w:rPr>
          <w:color w:val="000000"/>
          <w:kern w:val="0"/>
          <w:szCs w:val="21"/>
        </w:rPr>
        <w:t>标准曲线的范围不能外延，任何浓度高于定量上限的样品，应采用相应的空白基质稀释后重新测定。对于浓度低于定量限的样品，在进行休药期分析时，应以无法定量（</w:t>
      </w:r>
      <w:r w:rsidRPr="004A611A">
        <w:rPr>
          <w:color w:val="000000"/>
          <w:kern w:val="0"/>
          <w:szCs w:val="21"/>
        </w:rPr>
        <w:t>Not detectable</w:t>
      </w:r>
      <w:r w:rsidRPr="004A611A">
        <w:rPr>
          <w:color w:val="000000"/>
          <w:kern w:val="0"/>
          <w:szCs w:val="21"/>
        </w:rPr>
        <w:t>，</w:t>
      </w:r>
      <w:r w:rsidRPr="004A611A">
        <w:rPr>
          <w:color w:val="000000"/>
          <w:kern w:val="0"/>
          <w:szCs w:val="21"/>
        </w:rPr>
        <w:t>ND</w:t>
      </w:r>
      <w:r w:rsidRPr="004A611A">
        <w:rPr>
          <w:color w:val="000000"/>
          <w:kern w:val="0"/>
          <w:szCs w:val="21"/>
        </w:rPr>
        <w:t>）计算。</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整个分析过程应当遵从预先制订的实验室</w:t>
      </w:r>
      <w:r w:rsidRPr="004A611A">
        <w:rPr>
          <w:color w:val="000000"/>
          <w:kern w:val="0"/>
          <w:szCs w:val="21"/>
        </w:rPr>
        <w:t>SOP</w:t>
      </w:r>
      <w:r w:rsidRPr="004A611A">
        <w:rPr>
          <w:color w:val="000000"/>
          <w:kern w:val="0"/>
          <w:szCs w:val="21"/>
        </w:rPr>
        <w:t>以及</w:t>
      </w:r>
      <w:r w:rsidRPr="004A611A">
        <w:rPr>
          <w:color w:val="000000"/>
          <w:kern w:val="0"/>
          <w:szCs w:val="21"/>
        </w:rPr>
        <w:t>GLP</w:t>
      </w:r>
      <w:r w:rsidRPr="004A611A">
        <w:rPr>
          <w:color w:val="000000"/>
          <w:kern w:val="0"/>
          <w:szCs w:val="21"/>
        </w:rPr>
        <w:t>、</w:t>
      </w:r>
      <w:r w:rsidRPr="004A611A">
        <w:rPr>
          <w:color w:val="000000"/>
          <w:kern w:val="0"/>
          <w:szCs w:val="21"/>
        </w:rPr>
        <w:t>GCP</w:t>
      </w:r>
      <w:r w:rsidRPr="004A611A">
        <w:rPr>
          <w:color w:val="000000"/>
          <w:kern w:val="0"/>
          <w:szCs w:val="21"/>
        </w:rPr>
        <w:t>原则。</w:t>
      </w:r>
    </w:p>
    <w:p w:rsidR="001843C2" w:rsidRPr="003E2FA3" w:rsidRDefault="001843C2" w:rsidP="001843C2">
      <w:pPr>
        <w:adjustRightInd w:val="0"/>
        <w:snapToGrid w:val="0"/>
        <w:spacing w:line="360" w:lineRule="auto"/>
        <w:ind w:firstLineChars="200" w:firstLine="560"/>
        <w:outlineLvl w:val="0"/>
        <w:rPr>
          <w:rFonts w:eastAsia="黑体"/>
          <w:sz w:val="28"/>
          <w:szCs w:val="28"/>
        </w:rPr>
      </w:pPr>
      <w:r w:rsidRPr="003E2FA3">
        <w:rPr>
          <w:rFonts w:eastAsia="黑体"/>
          <w:sz w:val="28"/>
          <w:szCs w:val="28"/>
        </w:rPr>
        <w:t>三、试验设计</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（一）受试药物</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受试药物应与拟上市的制剂完全一致、同一剂型，有完整的产品质量标准，有符合规定格式的说明书。受试药物应来源于同一批号，由申报单位自行研制并在符合</w:t>
      </w:r>
      <w:r w:rsidRPr="004A611A">
        <w:rPr>
          <w:color w:val="000000"/>
          <w:kern w:val="0"/>
          <w:szCs w:val="21"/>
        </w:rPr>
        <w:t>GMP</w:t>
      </w:r>
      <w:r w:rsidRPr="004A611A">
        <w:rPr>
          <w:color w:val="000000"/>
          <w:kern w:val="0"/>
          <w:szCs w:val="21"/>
        </w:rPr>
        <w:t>条件下的车间生产，并提供产品检验合格报告。</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（二）动物及饲养管理</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应选择具有代表性的商业品种和靶动物群，要提供动物来源、体重、健康状况、年龄和性别等数据。</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产品适用的不同靶动物应分别进行消除试验。在肉牛进行的试验结果可以应用于非泌乳奶牛，反之亦可。成年反刍动物牛、羊的数据可以外推到犊牛和羔羊，若有证据表明反刍动物反刍前和成年之间的代谢有明显不同，需要单独进行反刍前犊牛和羔羊的消除试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对于泌乳期奶牛</w:t>
      </w:r>
      <w:r w:rsidRPr="004A611A">
        <w:rPr>
          <w:color w:val="000000"/>
          <w:kern w:val="0"/>
          <w:szCs w:val="21"/>
        </w:rPr>
        <w:t>/</w:t>
      </w:r>
      <w:r w:rsidRPr="004A611A">
        <w:rPr>
          <w:color w:val="000000"/>
          <w:kern w:val="0"/>
          <w:szCs w:val="21"/>
        </w:rPr>
        <w:t>羊需单独进行奶中的残留消除试验，制定弃奶期。</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用于乳房内灌注研究的奶牛必须是无乳房炎的健康奶牛。</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所有动物在试验前必须有足够的适应期，饲养过程尽可能接近商业正常的方式。动物自由采食和饮水。</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（三）动物数量</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不同动物的消除试验每个采样点对动物的要求如下：</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1</w:t>
      </w:r>
      <w:r w:rsidRPr="004A611A">
        <w:rPr>
          <w:rFonts w:hint="eastAsia"/>
          <w:color w:val="000000"/>
          <w:kern w:val="0"/>
          <w:szCs w:val="21"/>
        </w:rPr>
        <w:t>．</w:t>
      </w:r>
      <w:r w:rsidRPr="004A611A">
        <w:rPr>
          <w:color w:val="000000"/>
          <w:kern w:val="0"/>
          <w:szCs w:val="21"/>
        </w:rPr>
        <w:t>牛、羊及猪体内组织残留消除试验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最少</w:t>
      </w:r>
      <w:r w:rsidRPr="004A611A">
        <w:rPr>
          <w:color w:val="000000"/>
          <w:kern w:val="0"/>
          <w:szCs w:val="21"/>
        </w:rPr>
        <w:t>16</w:t>
      </w:r>
      <w:r w:rsidRPr="004A611A">
        <w:rPr>
          <w:color w:val="000000"/>
          <w:kern w:val="0"/>
          <w:szCs w:val="21"/>
        </w:rPr>
        <w:t>只动物分</w:t>
      </w:r>
      <w:r w:rsidRPr="004A611A">
        <w:rPr>
          <w:color w:val="000000"/>
          <w:kern w:val="0"/>
          <w:szCs w:val="21"/>
        </w:rPr>
        <w:t>4</w:t>
      </w:r>
      <w:r w:rsidRPr="004A611A">
        <w:rPr>
          <w:color w:val="000000"/>
          <w:kern w:val="0"/>
          <w:szCs w:val="21"/>
        </w:rPr>
        <w:t>个采样点进行残留消除试验。每个采样点至少</w:t>
      </w:r>
      <w:r w:rsidRPr="004A611A">
        <w:rPr>
          <w:color w:val="000000"/>
          <w:kern w:val="0"/>
          <w:szCs w:val="21"/>
        </w:rPr>
        <w:t>4</w:t>
      </w:r>
      <w:r w:rsidRPr="004A611A">
        <w:rPr>
          <w:color w:val="000000"/>
          <w:kern w:val="0"/>
          <w:szCs w:val="21"/>
        </w:rPr>
        <w:t>个动物。建议动物体重分别为：牛约</w:t>
      </w:r>
      <w:r w:rsidRPr="004A611A">
        <w:rPr>
          <w:color w:val="000000"/>
          <w:kern w:val="0"/>
          <w:szCs w:val="21"/>
        </w:rPr>
        <w:t>250</w:t>
      </w:r>
      <w:r w:rsidRPr="004A611A">
        <w:rPr>
          <w:color w:val="000000"/>
          <w:kern w:val="0"/>
          <w:szCs w:val="21"/>
        </w:rPr>
        <w:t>～</w:t>
      </w:r>
      <w:r w:rsidRPr="004A611A">
        <w:rPr>
          <w:color w:val="000000"/>
          <w:kern w:val="0"/>
          <w:szCs w:val="21"/>
        </w:rPr>
        <w:t>400kg</w:t>
      </w:r>
      <w:r w:rsidRPr="004A611A">
        <w:rPr>
          <w:color w:val="000000"/>
          <w:kern w:val="0"/>
          <w:szCs w:val="21"/>
        </w:rPr>
        <w:t>、羊约</w:t>
      </w:r>
      <w:r w:rsidRPr="004A611A">
        <w:rPr>
          <w:color w:val="000000"/>
          <w:kern w:val="0"/>
          <w:szCs w:val="21"/>
        </w:rPr>
        <w:t>30</w:t>
      </w:r>
      <w:r w:rsidRPr="004A611A">
        <w:rPr>
          <w:color w:val="000000"/>
          <w:kern w:val="0"/>
          <w:szCs w:val="21"/>
        </w:rPr>
        <w:t>～</w:t>
      </w:r>
      <w:r w:rsidRPr="004A611A">
        <w:rPr>
          <w:color w:val="000000"/>
          <w:kern w:val="0"/>
          <w:szCs w:val="21"/>
        </w:rPr>
        <w:t>60kg</w:t>
      </w:r>
      <w:r w:rsidRPr="004A611A">
        <w:rPr>
          <w:color w:val="000000"/>
          <w:kern w:val="0"/>
          <w:szCs w:val="21"/>
        </w:rPr>
        <w:t>、猪约</w:t>
      </w:r>
      <w:r w:rsidRPr="004A611A">
        <w:rPr>
          <w:color w:val="000000"/>
          <w:kern w:val="0"/>
          <w:szCs w:val="21"/>
        </w:rPr>
        <w:t>40</w:t>
      </w:r>
      <w:r w:rsidRPr="004A611A">
        <w:rPr>
          <w:color w:val="000000"/>
          <w:kern w:val="0"/>
          <w:szCs w:val="21"/>
        </w:rPr>
        <w:t>～</w:t>
      </w:r>
      <w:r w:rsidRPr="004A611A">
        <w:rPr>
          <w:color w:val="000000"/>
          <w:kern w:val="0"/>
          <w:szCs w:val="21"/>
        </w:rPr>
        <w:t>80kg</w:t>
      </w:r>
      <w:r w:rsidRPr="004A611A">
        <w:rPr>
          <w:color w:val="000000"/>
          <w:kern w:val="0"/>
          <w:szCs w:val="21"/>
        </w:rPr>
        <w:t>。</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2</w:t>
      </w:r>
      <w:r w:rsidRPr="004A611A">
        <w:rPr>
          <w:rFonts w:hint="eastAsia"/>
          <w:color w:val="000000"/>
          <w:kern w:val="0"/>
          <w:szCs w:val="21"/>
        </w:rPr>
        <w:t>．</w:t>
      </w:r>
      <w:r w:rsidRPr="004A611A">
        <w:rPr>
          <w:color w:val="000000"/>
          <w:kern w:val="0"/>
          <w:szCs w:val="21"/>
        </w:rPr>
        <w:t>奶中残留消除试验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对于泌乳期的动物，高产奶量动物和低产奶量动物每组至少各</w:t>
      </w:r>
      <w:r w:rsidRPr="004A611A">
        <w:rPr>
          <w:color w:val="000000"/>
          <w:kern w:val="0"/>
          <w:szCs w:val="21"/>
        </w:rPr>
        <w:t>10</w:t>
      </w:r>
      <w:r w:rsidRPr="004A611A">
        <w:rPr>
          <w:color w:val="000000"/>
          <w:kern w:val="0"/>
          <w:szCs w:val="21"/>
        </w:rPr>
        <w:t>头；对于干乳期的动物，至少应有</w:t>
      </w:r>
      <w:r w:rsidRPr="004A611A">
        <w:rPr>
          <w:color w:val="000000"/>
          <w:kern w:val="0"/>
          <w:szCs w:val="21"/>
        </w:rPr>
        <w:t>20</w:t>
      </w:r>
      <w:r w:rsidRPr="004A611A">
        <w:rPr>
          <w:color w:val="000000"/>
          <w:kern w:val="0"/>
          <w:szCs w:val="21"/>
        </w:rPr>
        <w:t>头动物。</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3</w:t>
      </w:r>
      <w:r w:rsidRPr="004A611A">
        <w:rPr>
          <w:rFonts w:hint="eastAsia"/>
          <w:color w:val="000000"/>
          <w:kern w:val="0"/>
          <w:szCs w:val="21"/>
        </w:rPr>
        <w:t>．</w:t>
      </w:r>
      <w:r w:rsidRPr="004A611A">
        <w:rPr>
          <w:color w:val="000000"/>
          <w:kern w:val="0"/>
          <w:szCs w:val="21"/>
        </w:rPr>
        <w:t>禽的残留消除试验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组织残留消除试验必须保证至少</w:t>
      </w:r>
      <w:r w:rsidRPr="004A611A">
        <w:rPr>
          <w:color w:val="000000"/>
          <w:kern w:val="0"/>
          <w:szCs w:val="21"/>
        </w:rPr>
        <w:t>4</w:t>
      </w:r>
      <w:r w:rsidRPr="004A611A">
        <w:rPr>
          <w:color w:val="000000"/>
          <w:kern w:val="0"/>
          <w:szCs w:val="21"/>
        </w:rPr>
        <w:t>个采样点，每个点</w:t>
      </w:r>
      <w:r w:rsidRPr="004A611A">
        <w:rPr>
          <w:color w:val="000000"/>
          <w:kern w:val="0"/>
          <w:szCs w:val="21"/>
        </w:rPr>
        <w:t>6</w:t>
      </w:r>
      <w:r w:rsidRPr="004A611A">
        <w:rPr>
          <w:color w:val="000000"/>
          <w:kern w:val="0"/>
          <w:szCs w:val="21"/>
        </w:rPr>
        <w:t>只动物；蛋中残留试验必须保证至少</w:t>
      </w:r>
      <w:r w:rsidRPr="004A611A">
        <w:rPr>
          <w:color w:val="000000"/>
          <w:kern w:val="0"/>
          <w:szCs w:val="21"/>
        </w:rPr>
        <w:t>4</w:t>
      </w:r>
      <w:r w:rsidRPr="004A611A">
        <w:rPr>
          <w:color w:val="000000"/>
          <w:kern w:val="0"/>
          <w:szCs w:val="21"/>
        </w:rPr>
        <w:t>个采样点，每个采样点收集</w:t>
      </w:r>
      <w:r w:rsidRPr="004A611A">
        <w:rPr>
          <w:color w:val="000000"/>
          <w:kern w:val="0"/>
          <w:szCs w:val="21"/>
        </w:rPr>
        <w:t>10</w:t>
      </w:r>
      <w:r w:rsidRPr="004A611A">
        <w:rPr>
          <w:color w:val="000000"/>
          <w:kern w:val="0"/>
          <w:szCs w:val="21"/>
        </w:rPr>
        <w:t>枚或以上的蛋。</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（四）给药</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lastRenderedPageBreak/>
        <w:t>给药途径和方式必须按照标签、说明书进行，如用于注射的产品，要遵守给药部位和给药方法的规定。对于多次给药的产品，注射给药必须在动物的左右两侧相同部位交替给药。</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给药剂量采用标签推荐最高的剂量，给药时间采用标签推荐最长的给药疗程时间，对于连续或长期使用的药物，选择残留标示物在动物体内可食性组织中达到稳态的时间。可以预先进行一个残留标示物达到稳态浓度的测定试验，以确定残留标示物在动物体内可食性组织中达到稳态的时间。</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乳房灌注的药物制剂必须同时给予</w:t>
      </w:r>
      <w:r w:rsidRPr="004A611A">
        <w:rPr>
          <w:color w:val="000000"/>
          <w:kern w:val="0"/>
          <w:szCs w:val="21"/>
        </w:rPr>
        <w:t>4</w:t>
      </w:r>
      <w:r w:rsidRPr="004A611A">
        <w:rPr>
          <w:color w:val="000000"/>
          <w:kern w:val="0"/>
          <w:szCs w:val="21"/>
        </w:rPr>
        <w:t>个乳区。干乳期给药必须在最后一次泌乳后和下一次分娩前进行。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如果一个产品可以用于多种肠道外途径给药，则要求分别进行残留消除试验。如果休药期是依据注射位点的消除数据制定，这时不需要再进行静注给药的消除试验。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用于全身治疗作用具有多个经皮肤给药途径（如浸渍、喷雾和浇泼）的产品，应选择药物吸收量和程度最佳的皮肤给药途径进行残留消除试验。</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动物屠宰采用商业方式，一般采用放血处死。不允许采用化学处死方法。</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（五）采样</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在停药当天（牛、羊、猪组织</w:t>
      </w:r>
      <w:r w:rsidRPr="004A611A">
        <w:rPr>
          <w:color w:val="000000"/>
          <w:kern w:val="0"/>
          <w:szCs w:val="21"/>
        </w:rPr>
        <w:t>8</w:t>
      </w:r>
      <w:r w:rsidRPr="004A611A">
        <w:rPr>
          <w:color w:val="000000"/>
          <w:kern w:val="0"/>
          <w:szCs w:val="21"/>
        </w:rPr>
        <w:t>～</w:t>
      </w:r>
      <w:r w:rsidRPr="004A611A">
        <w:rPr>
          <w:color w:val="000000"/>
          <w:kern w:val="0"/>
          <w:szCs w:val="21"/>
        </w:rPr>
        <w:t>12</w:t>
      </w:r>
      <w:r w:rsidRPr="004A611A">
        <w:rPr>
          <w:color w:val="000000"/>
          <w:kern w:val="0"/>
          <w:szCs w:val="21"/>
        </w:rPr>
        <w:t>小时，家禽组织</w:t>
      </w:r>
      <w:r w:rsidRPr="004A611A">
        <w:rPr>
          <w:color w:val="000000"/>
          <w:kern w:val="0"/>
          <w:szCs w:val="21"/>
        </w:rPr>
        <w:t>2</w:t>
      </w:r>
      <w:r w:rsidRPr="004A611A">
        <w:rPr>
          <w:color w:val="000000"/>
          <w:kern w:val="0"/>
          <w:szCs w:val="21"/>
        </w:rPr>
        <w:t>～</w:t>
      </w:r>
      <w:r w:rsidRPr="004A611A">
        <w:rPr>
          <w:color w:val="000000"/>
          <w:kern w:val="0"/>
          <w:szCs w:val="21"/>
        </w:rPr>
        <w:t>6</w:t>
      </w:r>
      <w:r w:rsidRPr="004A611A">
        <w:rPr>
          <w:color w:val="000000"/>
          <w:kern w:val="0"/>
          <w:szCs w:val="21"/>
        </w:rPr>
        <w:t>小时，奶</w:t>
      </w:r>
      <w:r w:rsidRPr="004A611A">
        <w:rPr>
          <w:color w:val="000000"/>
          <w:kern w:val="0"/>
          <w:szCs w:val="21"/>
        </w:rPr>
        <w:t>2</w:t>
      </w:r>
      <w:r w:rsidRPr="004A611A">
        <w:rPr>
          <w:color w:val="000000"/>
          <w:kern w:val="0"/>
          <w:szCs w:val="21"/>
        </w:rPr>
        <w:t>～</w:t>
      </w:r>
      <w:r w:rsidRPr="004A611A">
        <w:rPr>
          <w:color w:val="000000"/>
          <w:kern w:val="0"/>
          <w:szCs w:val="21"/>
        </w:rPr>
        <w:t>12</w:t>
      </w:r>
      <w:r w:rsidRPr="004A611A">
        <w:rPr>
          <w:color w:val="000000"/>
          <w:kern w:val="0"/>
          <w:szCs w:val="21"/>
        </w:rPr>
        <w:t>小时）必须有一个采样点，最后一个采样点应低于残留限量。</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在每个采样点，要采集足够量的样品。采集的样品不得进行任何洗涤或处理，所取样品应立即均匀分成若干等份、包装并做好标记，保存于</w:t>
      </w:r>
      <w:smartTag w:uri="urn:schemas-microsoft-com:office:smarttags" w:element="chmetcnv">
        <w:smartTagPr>
          <w:attr w:name="TCSC" w:val="0"/>
          <w:attr w:name="NumberType" w:val="1"/>
          <w:attr w:name="Negative" w:val="True"/>
          <w:attr w:name="HasSpace" w:val="False"/>
          <w:attr w:name="SourceValue" w:val="20"/>
          <w:attr w:name="UnitName" w:val="℃"/>
        </w:smartTagPr>
        <w:r w:rsidRPr="004A611A">
          <w:rPr>
            <w:color w:val="000000"/>
            <w:kern w:val="0"/>
            <w:szCs w:val="21"/>
          </w:rPr>
          <w:t>-20</w:t>
        </w:r>
        <w:r w:rsidRPr="004A611A">
          <w:rPr>
            <w:rFonts w:hint="eastAsia"/>
            <w:color w:val="000000"/>
            <w:kern w:val="0"/>
            <w:szCs w:val="21"/>
          </w:rPr>
          <w:t>℃</w:t>
        </w:r>
      </w:smartTag>
      <w:r w:rsidRPr="004A611A">
        <w:rPr>
          <w:color w:val="000000"/>
          <w:kern w:val="0"/>
          <w:szCs w:val="21"/>
        </w:rPr>
        <w:t>冰箱，对于残留物有可能不稳定的样品应置于相应要求的温度下存放至测定。</w:t>
      </w:r>
    </w:p>
    <w:p w:rsidR="001843C2" w:rsidRPr="004A611A" w:rsidRDefault="001843C2" w:rsidP="001843C2">
      <w:pPr>
        <w:adjustRightInd w:val="0"/>
        <w:snapToGrid w:val="0"/>
        <w:spacing w:line="360" w:lineRule="auto"/>
        <w:ind w:firstLineChars="200" w:firstLine="420"/>
        <w:rPr>
          <w:color w:val="000000"/>
          <w:kern w:val="0"/>
          <w:szCs w:val="21"/>
        </w:rPr>
      </w:pPr>
      <w:r w:rsidRPr="004A611A">
        <w:rPr>
          <w:color w:val="000000"/>
          <w:kern w:val="0"/>
          <w:szCs w:val="21"/>
        </w:rPr>
        <w:t>推荐的可食性组织采样方式见表</w:t>
      </w:r>
      <w:r w:rsidRPr="004A611A">
        <w:rPr>
          <w:color w:val="000000"/>
          <w:kern w:val="0"/>
          <w:szCs w:val="21"/>
        </w:rPr>
        <w:t>1</w:t>
      </w:r>
      <w:r w:rsidRPr="004A611A">
        <w:rPr>
          <w:color w:val="000000"/>
          <w:kern w:val="0"/>
          <w:szCs w:val="21"/>
        </w:rPr>
        <w:t>。</w:t>
      </w:r>
    </w:p>
    <w:p w:rsidR="001843C2" w:rsidRPr="004A611A" w:rsidRDefault="001843C2" w:rsidP="001843C2">
      <w:pPr>
        <w:adjustRightInd w:val="0"/>
        <w:snapToGrid w:val="0"/>
        <w:spacing w:line="360" w:lineRule="auto"/>
        <w:jc w:val="center"/>
        <w:rPr>
          <w:rFonts w:eastAsia="黑体"/>
          <w:szCs w:val="21"/>
        </w:rPr>
      </w:pPr>
      <w:r w:rsidRPr="004A611A">
        <w:rPr>
          <w:rFonts w:eastAsia="黑体"/>
          <w:szCs w:val="21"/>
        </w:rPr>
        <w:t>表</w:t>
      </w:r>
      <w:r w:rsidRPr="004A611A">
        <w:rPr>
          <w:rFonts w:eastAsia="黑体"/>
          <w:szCs w:val="21"/>
        </w:rPr>
        <w:t xml:space="preserve">1 </w:t>
      </w:r>
      <w:r w:rsidRPr="004A611A">
        <w:rPr>
          <w:rFonts w:eastAsia="黑体"/>
          <w:szCs w:val="21"/>
        </w:rPr>
        <w:t>残留消除试验中推荐的可食性组织采样方式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8"/>
        <w:gridCol w:w="2613"/>
        <w:gridCol w:w="2379"/>
        <w:gridCol w:w="2086"/>
      </w:tblGrid>
      <w:tr w:rsidR="001843C2" w:rsidRPr="004A611A" w:rsidTr="00752DA2">
        <w:trPr>
          <w:trHeight w:val="454"/>
          <w:jc w:val="center"/>
        </w:trPr>
        <w:tc>
          <w:tcPr>
            <w:tcW w:w="734" w:type="pct"/>
            <w:vMerge w:val="restar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可食性</w:t>
            </w:r>
          </w:p>
          <w:p w:rsidR="001843C2" w:rsidRPr="004A611A" w:rsidRDefault="001843C2" w:rsidP="00752DA2">
            <w:pPr>
              <w:adjustRightInd w:val="0"/>
              <w:snapToGrid w:val="0"/>
              <w:jc w:val="center"/>
              <w:rPr>
                <w:szCs w:val="21"/>
              </w:rPr>
            </w:pPr>
            <w:r w:rsidRPr="004A611A">
              <w:rPr>
                <w:szCs w:val="21"/>
              </w:rPr>
              <w:t>组织</w:t>
            </w:r>
          </w:p>
          <w:p w:rsidR="001843C2" w:rsidRPr="004A611A" w:rsidRDefault="001843C2" w:rsidP="00752DA2">
            <w:pPr>
              <w:adjustRightInd w:val="0"/>
              <w:snapToGrid w:val="0"/>
              <w:jc w:val="center"/>
              <w:rPr>
                <w:szCs w:val="21"/>
              </w:rPr>
            </w:pPr>
            <w:r w:rsidRPr="004A611A">
              <w:rPr>
                <w:szCs w:val="21"/>
              </w:rPr>
              <w:t>样品类型</w:t>
            </w:r>
          </w:p>
        </w:tc>
        <w:tc>
          <w:tcPr>
            <w:tcW w:w="4266" w:type="pct"/>
            <w:gridSpan w:val="3"/>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动物品种</w:t>
            </w:r>
          </w:p>
        </w:tc>
      </w:tr>
      <w:tr w:rsidR="001843C2" w:rsidRPr="004A611A" w:rsidTr="00752DA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widowControl/>
              <w:jc w:val="left"/>
              <w:rPr>
                <w:szCs w:val="21"/>
              </w:rPr>
            </w:pP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牛</w:t>
            </w:r>
            <w:r w:rsidRPr="004A611A">
              <w:rPr>
                <w:szCs w:val="21"/>
              </w:rPr>
              <w:t>/</w:t>
            </w:r>
            <w:r w:rsidRPr="004A611A">
              <w:rPr>
                <w:szCs w:val="21"/>
              </w:rPr>
              <w:t>羊</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猪</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家禽</w:t>
            </w:r>
          </w:p>
        </w:tc>
      </w:tr>
      <w:tr w:rsidR="001843C2" w:rsidRPr="004A611A" w:rsidTr="00752DA2">
        <w:trPr>
          <w:trHeight w:val="335"/>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肌肉</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背长肌</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背长肌</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胸肌</w:t>
            </w:r>
          </w:p>
        </w:tc>
      </w:tr>
      <w:tr w:rsidR="001843C2" w:rsidRPr="004A611A" w:rsidTr="00752DA2">
        <w:trPr>
          <w:trHeight w:val="2865"/>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注射位点</w:t>
            </w:r>
          </w:p>
          <w:p w:rsidR="001843C2" w:rsidRPr="004A611A" w:rsidRDefault="001843C2" w:rsidP="00752DA2">
            <w:pPr>
              <w:adjustRightInd w:val="0"/>
              <w:snapToGrid w:val="0"/>
              <w:jc w:val="center"/>
              <w:rPr>
                <w:szCs w:val="21"/>
              </w:rPr>
            </w:pPr>
            <w:r w:rsidRPr="004A611A">
              <w:rPr>
                <w:szCs w:val="21"/>
              </w:rPr>
              <w:t>肌肉</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以注射点为中心，取样约</w:t>
            </w:r>
            <w:smartTag w:uri="urn:schemas-microsoft-com:office:smarttags" w:element="chmetcnv">
              <w:smartTagPr>
                <w:attr w:name="TCSC" w:val="0"/>
                <w:attr w:name="NumberType" w:val="1"/>
                <w:attr w:name="Negative" w:val="False"/>
                <w:attr w:name="HasSpace" w:val="False"/>
                <w:attr w:name="SourceValue" w:val=".5"/>
                <w:attr w:name="UnitName" w:val="kg"/>
              </w:smartTagPr>
              <w:r w:rsidRPr="004A611A">
                <w:rPr>
                  <w:szCs w:val="21"/>
                </w:rPr>
                <w:t>0.5kg</w:t>
              </w:r>
            </w:smartTag>
            <w:r w:rsidRPr="004A611A">
              <w:rPr>
                <w:szCs w:val="21"/>
              </w:rPr>
              <w:t>；肌注：</w:t>
            </w:r>
            <w:smartTag w:uri="urn:schemas-microsoft-com:office:smarttags" w:element="chmetcnv">
              <w:smartTagPr>
                <w:attr w:name="TCSC" w:val="0"/>
                <w:attr w:name="NumberType" w:val="1"/>
                <w:attr w:name="Negative" w:val="False"/>
                <w:attr w:name="HasSpace" w:val="False"/>
                <w:attr w:name="SourceValue" w:val="10"/>
                <w:attr w:name="UnitName" w:val="cm"/>
              </w:smartTagPr>
              <w:r w:rsidRPr="004A611A">
                <w:rPr>
                  <w:szCs w:val="21"/>
                </w:rPr>
                <w:t>10cm</w:t>
              </w:r>
            </w:smartTag>
            <w:r w:rsidRPr="004A611A">
              <w:rPr>
                <w:szCs w:val="21"/>
              </w:rPr>
              <w:t>（直径）</w:t>
            </w:r>
            <w:r w:rsidRPr="004A611A">
              <w:rPr>
                <w:szCs w:val="21"/>
              </w:rPr>
              <w:t>×</w:t>
            </w:r>
            <w:smartTag w:uri="urn:schemas-microsoft-com:office:smarttags" w:element="chmetcnv">
              <w:smartTagPr>
                <w:attr w:name="TCSC" w:val="0"/>
                <w:attr w:name="NumberType" w:val="1"/>
                <w:attr w:name="Negative" w:val="False"/>
                <w:attr w:name="HasSpace" w:val="False"/>
                <w:attr w:name="SourceValue" w:val="6"/>
                <w:attr w:name="UnitName" w:val="cm"/>
              </w:smartTagPr>
              <w:r w:rsidRPr="004A611A">
                <w:rPr>
                  <w:szCs w:val="21"/>
                </w:rPr>
                <w:t>6cm</w:t>
              </w:r>
            </w:smartTag>
            <w:r w:rsidRPr="004A611A">
              <w:rPr>
                <w:szCs w:val="21"/>
              </w:rPr>
              <w:t>（深）；皮下注射：</w:t>
            </w:r>
            <w:smartTag w:uri="urn:schemas-microsoft-com:office:smarttags" w:element="chmetcnv">
              <w:smartTagPr>
                <w:attr w:name="TCSC" w:val="0"/>
                <w:attr w:name="NumberType" w:val="1"/>
                <w:attr w:name="Negative" w:val="False"/>
                <w:attr w:name="HasSpace" w:val="False"/>
                <w:attr w:name="SourceValue" w:val="15"/>
                <w:attr w:name="UnitName" w:val="cm"/>
              </w:smartTagPr>
              <w:r w:rsidRPr="004A611A">
                <w:rPr>
                  <w:szCs w:val="21"/>
                </w:rPr>
                <w:t>15cm</w:t>
              </w:r>
            </w:smartTag>
            <w:r w:rsidRPr="004A611A">
              <w:rPr>
                <w:szCs w:val="21"/>
              </w:rPr>
              <w:t>（直径）</w:t>
            </w:r>
            <w:r w:rsidRPr="004A611A">
              <w:rPr>
                <w:szCs w:val="21"/>
              </w:rPr>
              <w:t>×</w:t>
            </w:r>
            <w:smartTag w:uri="urn:schemas-microsoft-com:office:smarttags" w:element="chmetcnv">
              <w:smartTagPr>
                <w:attr w:name="TCSC" w:val="0"/>
                <w:attr w:name="NumberType" w:val="1"/>
                <w:attr w:name="Negative" w:val="False"/>
                <w:attr w:name="HasSpace" w:val="False"/>
                <w:attr w:name="SourceValue" w:val="2.5"/>
                <w:attr w:name="UnitName" w:val="cm"/>
              </w:smartTagPr>
              <w:r w:rsidRPr="004A611A">
                <w:rPr>
                  <w:szCs w:val="21"/>
                </w:rPr>
                <w:t>2.5cm</w:t>
              </w:r>
            </w:smartTag>
            <w:r w:rsidRPr="004A611A">
              <w:rPr>
                <w:szCs w:val="21"/>
              </w:rPr>
              <w:t>（深）</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以注射点为中心，取样约</w:t>
            </w:r>
            <w:smartTag w:uri="urn:schemas-microsoft-com:office:smarttags" w:element="chmetcnv">
              <w:smartTagPr>
                <w:attr w:name="TCSC" w:val="0"/>
                <w:attr w:name="NumberType" w:val="1"/>
                <w:attr w:name="Negative" w:val="False"/>
                <w:attr w:name="HasSpace" w:val="False"/>
                <w:attr w:name="SourceValue" w:val=".5"/>
                <w:attr w:name="UnitName" w:val="kg"/>
              </w:smartTagPr>
              <w:r w:rsidRPr="004A611A">
                <w:rPr>
                  <w:szCs w:val="21"/>
                </w:rPr>
                <w:t>0.5kg</w:t>
              </w:r>
            </w:smartTag>
            <w:r w:rsidRPr="004A611A">
              <w:rPr>
                <w:szCs w:val="21"/>
              </w:rPr>
              <w:t>；肌注：</w:t>
            </w:r>
            <w:smartTag w:uri="urn:schemas-microsoft-com:office:smarttags" w:element="chmetcnv">
              <w:smartTagPr>
                <w:attr w:name="TCSC" w:val="0"/>
                <w:attr w:name="NumberType" w:val="1"/>
                <w:attr w:name="Negative" w:val="False"/>
                <w:attr w:name="HasSpace" w:val="False"/>
                <w:attr w:name="SourceValue" w:val="10"/>
                <w:attr w:name="UnitName" w:val="cm"/>
              </w:smartTagPr>
              <w:r w:rsidRPr="004A611A">
                <w:rPr>
                  <w:szCs w:val="21"/>
                </w:rPr>
                <w:t>10cm</w:t>
              </w:r>
            </w:smartTag>
            <w:r w:rsidRPr="004A611A">
              <w:rPr>
                <w:szCs w:val="21"/>
              </w:rPr>
              <w:t>（直径）</w:t>
            </w:r>
            <w:r w:rsidRPr="004A611A">
              <w:rPr>
                <w:szCs w:val="21"/>
              </w:rPr>
              <w:t>×</w:t>
            </w:r>
            <w:smartTag w:uri="urn:schemas-microsoft-com:office:smarttags" w:element="chmetcnv">
              <w:smartTagPr>
                <w:attr w:name="TCSC" w:val="0"/>
                <w:attr w:name="NumberType" w:val="1"/>
                <w:attr w:name="Negative" w:val="False"/>
                <w:attr w:name="HasSpace" w:val="False"/>
                <w:attr w:name="SourceValue" w:val="6"/>
                <w:attr w:name="UnitName" w:val="cm"/>
              </w:smartTagPr>
              <w:r w:rsidRPr="004A611A">
                <w:rPr>
                  <w:szCs w:val="21"/>
                </w:rPr>
                <w:t>6cm</w:t>
              </w:r>
            </w:smartTag>
            <w:r w:rsidRPr="004A611A">
              <w:rPr>
                <w:szCs w:val="21"/>
              </w:rPr>
              <w:t>（深）；皮下注射：</w:t>
            </w:r>
            <w:smartTag w:uri="urn:schemas-microsoft-com:office:smarttags" w:element="chmetcnv">
              <w:smartTagPr>
                <w:attr w:name="TCSC" w:val="0"/>
                <w:attr w:name="NumberType" w:val="1"/>
                <w:attr w:name="Negative" w:val="False"/>
                <w:attr w:name="HasSpace" w:val="False"/>
                <w:attr w:name="SourceValue" w:val="15"/>
                <w:attr w:name="UnitName" w:val="cm"/>
              </w:smartTagPr>
              <w:r w:rsidRPr="004A611A">
                <w:rPr>
                  <w:szCs w:val="21"/>
                </w:rPr>
                <w:t>15cm</w:t>
              </w:r>
            </w:smartTag>
            <w:r w:rsidRPr="004A611A">
              <w:rPr>
                <w:szCs w:val="21"/>
              </w:rPr>
              <w:t>（直径）</w:t>
            </w:r>
            <w:r w:rsidRPr="004A611A">
              <w:rPr>
                <w:szCs w:val="21"/>
              </w:rPr>
              <w:t>×</w:t>
            </w:r>
            <w:smartTag w:uri="urn:schemas-microsoft-com:office:smarttags" w:element="chmetcnv">
              <w:smartTagPr>
                <w:attr w:name="TCSC" w:val="0"/>
                <w:attr w:name="NumberType" w:val="1"/>
                <w:attr w:name="Negative" w:val="False"/>
                <w:attr w:name="HasSpace" w:val="False"/>
                <w:attr w:name="SourceValue" w:val="2.5"/>
                <w:attr w:name="UnitName" w:val="cm"/>
              </w:smartTagPr>
              <w:r w:rsidRPr="004A611A">
                <w:rPr>
                  <w:szCs w:val="21"/>
                </w:rPr>
                <w:t>2.5cm</w:t>
              </w:r>
            </w:smartTag>
            <w:r w:rsidRPr="004A611A">
              <w:rPr>
                <w:szCs w:val="21"/>
              </w:rPr>
              <w:t>（深）</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收集整个给药部位样品，如整个脖子、整个胸部肌肉、整个腿部。体型较大的取样不超过</w:t>
            </w:r>
            <w:smartTag w:uri="urn:schemas-microsoft-com:office:smarttags" w:element="chmetcnv">
              <w:smartTagPr>
                <w:attr w:name="TCSC" w:val="0"/>
                <w:attr w:name="NumberType" w:val="1"/>
                <w:attr w:name="Negative" w:val="False"/>
                <w:attr w:name="HasSpace" w:val="False"/>
                <w:attr w:name="SourceValue" w:val=".5"/>
                <w:attr w:name="UnitName" w:val="kg"/>
              </w:smartTagPr>
              <w:r w:rsidRPr="004A611A">
                <w:rPr>
                  <w:szCs w:val="21"/>
                </w:rPr>
                <w:t>0.5kg</w:t>
              </w:r>
            </w:smartTag>
          </w:p>
        </w:tc>
      </w:tr>
      <w:tr w:rsidR="001843C2" w:rsidRPr="004A611A" w:rsidTr="00752DA2">
        <w:trPr>
          <w:trHeight w:val="454"/>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肝</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外缘纵切</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外缘纵切</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全部</w:t>
            </w:r>
          </w:p>
        </w:tc>
      </w:tr>
      <w:tr w:rsidR="001843C2" w:rsidRPr="004A611A" w:rsidTr="00752DA2">
        <w:trPr>
          <w:trHeight w:val="454"/>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lastRenderedPageBreak/>
              <w:t>肾</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双肾各取等量</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双肾各取等量</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双肾取全量</w:t>
            </w:r>
          </w:p>
        </w:tc>
      </w:tr>
      <w:tr w:rsidR="001843C2" w:rsidRPr="004A611A" w:rsidTr="00752DA2">
        <w:trPr>
          <w:trHeight w:val="454"/>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脂肪</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肾周脂肪（</w:t>
            </w:r>
            <w:r w:rsidRPr="004A611A">
              <w:rPr>
                <w:szCs w:val="21"/>
              </w:rPr>
              <w:t>Peri-renal</w:t>
            </w:r>
            <w:r w:rsidRPr="004A611A">
              <w:rPr>
                <w:szCs w:val="21"/>
              </w:rPr>
              <w:t>）</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r>
      <w:tr w:rsidR="001843C2" w:rsidRPr="004A611A" w:rsidTr="00752DA2">
        <w:trPr>
          <w:trHeight w:val="454"/>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皮肤</w:t>
            </w:r>
            <w:r w:rsidRPr="004A611A">
              <w:rPr>
                <w:szCs w:val="21"/>
              </w:rPr>
              <w:t>/</w:t>
            </w:r>
            <w:r w:rsidRPr="004A611A">
              <w:rPr>
                <w:szCs w:val="21"/>
              </w:rPr>
              <w:t>脂肪</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带皮的脂肪</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带皮的脂肪</w:t>
            </w:r>
          </w:p>
        </w:tc>
      </w:tr>
      <w:tr w:rsidR="001843C2" w:rsidRPr="004A611A" w:rsidTr="00752DA2">
        <w:trPr>
          <w:trHeight w:val="454"/>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奶</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全部</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r>
      <w:tr w:rsidR="001843C2" w:rsidRPr="004A611A" w:rsidTr="00752DA2">
        <w:trPr>
          <w:trHeight w:val="454"/>
          <w:jc w:val="center"/>
        </w:trPr>
        <w:tc>
          <w:tcPr>
            <w:tcW w:w="7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蛋</w:t>
            </w:r>
          </w:p>
        </w:tc>
        <w:tc>
          <w:tcPr>
            <w:tcW w:w="1575"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c>
          <w:tcPr>
            <w:tcW w:w="1434"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w:t>
            </w:r>
          </w:p>
        </w:tc>
        <w:tc>
          <w:tcPr>
            <w:tcW w:w="1257" w:type="pct"/>
            <w:tcBorders>
              <w:top w:val="single" w:sz="4" w:space="0" w:color="auto"/>
              <w:left w:val="single" w:sz="4" w:space="0" w:color="auto"/>
              <w:bottom w:val="single" w:sz="4" w:space="0" w:color="auto"/>
              <w:right w:val="single" w:sz="4" w:space="0" w:color="auto"/>
            </w:tcBorders>
            <w:vAlign w:val="center"/>
          </w:tcPr>
          <w:p w:rsidR="001843C2" w:rsidRPr="004A611A" w:rsidRDefault="001843C2" w:rsidP="00752DA2">
            <w:pPr>
              <w:adjustRightInd w:val="0"/>
              <w:snapToGrid w:val="0"/>
              <w:jc w:val="center"/>
              <w:rPr>
                <w:szCs w:val="21"/>
              </w:rPr>
            </w:pPr>
            <w:r w:rsidRPr="004A611A">
              <w:rPr>
                <w:szCs w:val="21"/>
              </w:rPr>
              <w:t>洗净蛋壳，取蛋白和蛋黄混合</w:t>
            </w:r>
          </w:p>
        </w:tc>
      </w:tr>
    </w:tbl>
    <w:p w:rsidR="001843C2" w:rsidRPr="004A611A" w:rsidRDefault="001843C2" w:rsidP="001843C2">
      <w:pPr>
        <w:adjustRightInd w:val="0"/>
        <w:snapToGrid w:val="0"/>
        <w:spacing w:line="360" w:lineRule="auto"/>
        <w:ind w:firstLineChars="200" w:firstLine="420"/>
        <w:rPr>
          <w:szCs w:val="21"/>
        </w:rPr>
      </w:pPr>
      <w:r w:rsidRPr="004A611A">
        <w:rPr>
          <w:szCs w:val="21"/>
        </w:rPr>
        <w:t>肌注和皮下注射给药的产品，必须采集最后一次给药注射位点的肌肉。其他经皮给药的药物也要进行给药位点的药物残留测定，比如浇泼剂要采集给药部位的肌肉、皮下脂肪等。</w:t>
      </w:r>
    </w:p>
    <w:p w:rsidR="001843C2" w:rsidRPr="004A611A" w:rsidRDefault="001843C2" w:rsidP="001843C2">
      <w:pPr>
        <w:adjustRightInd w:val="0"/>
        <w:snapToGrid w:val="0"/>
        <w:spacing w:line="360" w:lineRule="auto"/>
        <w:ind w:firstLineChars="200" w:firstLine="420"/>
        <w:rPr>
          <w:szCs w:val="21"/>
        </w:rPr>
      </w:pPr>
      <w:r w:rsidRPr="004A611A">
        <w:rPr>
          <w:szCs w:val="21"/>
        </w:rPr>
        <w:t>如果分析的样品为两种或两种以上的复合样品，如带皮的脂肪（猪、禽），则不再单独进行脂肪、皮的测定。牛、羊的脂肪样品仅指肾周脂肪，猪和禽应采集皮脂。</w:t>
      </w:r>
    </w:p>
    <w:p w:rsidR="001843C2" w:rsidRPr="004A611A" w:rsidRDefault="001843C2" w:rsidP="001843C2">
      <w:pPr>
        <w:adjustRightInd w:val="0"/>
        <w:snapToGrid w:val="0"/>
        <w:spacing w:line="360" w:lineRule="auto"/>
        <w:ind w:firstLineChars="200" w:firstLine="420"/>
        <w:rPr>
          <w:szCs w:val="21"/>
        </w:rPr>
      </w:pPr>
      <w:r w:rsidRPr="004A611A">
        <w:rPr>
          <w:szCs w:val="21"/>
        </w:rPr>
        <w:t>乳样应该在最后一次给药后按照每日两次的挤奶程序的间隔时间下采集。在每个时间点，将每头动物所有乳区的全部奶混合在一起后，进行采样。对于多次给药的产品，乳样应该从最后一次给药后采集。</w:t>
      </w:r>
    </w:p>
    <w:p w:rsidR="001843C2" w:rsidRPr="003E2FA3" w:rsidRDefault="001843C2" w:rsidP="001843C2">
      <w:pPr>
        <w:adjustRightInd w:val="0"/>
        <w:snapToGrid w:val="0"/>
        <w:spacing w:line="360" w:lineRule="auto"/>
        <w:ind w:firstLineChars="200" w:firstLine="420"/>
        <w:rPr>
          <w:sz w:val="28"/>
          <w:szCs w:val="28"/>
        </w:rPr>
      </w:pPr>
      <w:r w:rsidRPr="004A611A">
        <w:rPr>
          <w:szCs w:val="21"/>
        </w:rPr>
        <w:t>给药和采样要考虑蛋黄的形成时间（一般为</w:t>
      </w:r>
      <w:r w:rsidRPr="004A611A">
        <w:rPr>
          <w:szCs w:val="21"/>
        </w:rPr>
        <w:t>12</w:t>
      </w:r>
      <w:r w:rsidRPr="004A611A">
        <w:rPr>
          <w:szCs w:val="21"/>
        </w:rPr>
        <w:t>天）。蛋白和蛋黄要混在一起进行分析检测。对于多次给药的产品，在给药期间也要进行蛋样采集。</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（六）休药期为零天的残留消除试验</w:t>
      </w:r>
    </w:p>
    <w:p w:rsidR="001843C2" w:rsidRPr="004A611A" w:rsidRDefault="001843C2" w:rsidP="001843C2">
      <w:pPr>
        <w:adjustRightInd w:val="0"/>
        <w:snapToGrid w:val="0"/>
        <w:spacing w:line="360" w:lineRule="auto"/>
        <w:ind w:firstLineChars="200" w:firstLine="420"/>
        <w:rPr>
          <w:szCs w:val="21"/>
        </w:rPr>
      </w:pPr>
      <w:r w:rsidRPr="004A611A">
        <w:rPr>
          <w:szCs w:val="21"/>
        </w:rPr>
        <w:t>代谢试验预测休药期为</w:t>
      </w:r>
      <w:r w:rsidRPr="004A611A">
        <w:rPr>
          <w:szCs w:val="21"/>
        </w:rPr>
        <w:t>0</w:t>
      </w:r>
      <w:r w:rsidRPr="004A611A">
        <w:rPr>
          <w:szCs w:val="21"/>
        </w:rPr>
        <w:t>天的产品，无论单次给药、多次给药，还是连续给药，都可以通过单时间点采样试验进行证实。</w:t>
      </w:r>
    </w:p>
    <w:p w:rsidR="001843C2" w:rsidRPr="004A611A" w:rsidRDefault="001843C2" w:rsidP="001843C2">
      <w:pPr>
        <w:adjustRightInd w:val="0"/>
        <w:snapToGrid w:val="0"/>
        <w:spacing w:line="360" w:lineRule="auto"/>
        <w:ind w:firstLineChars="200" w:firstLine="420"/>
        <w:rPr>
          <w:szCs w:val="21"/>
        </w:rPr>
      </w:pPr>
      <w:r w:rsidRPr="004A611A">
        <w:rPr>
          <w:szCs w:val="21"/>
        </w:rPr>
        <w:t>进行单时间点采样试验的动物数量最低要求为：禽</w:t>
      </w:r>
      <w:r w:rsidRPr="004A611A">
        <w:rPr>
          <w:szCs w:val="21"/>
        </w:rPr>
        <w:t>12</w:t>
      </w:r>
      <w:r w:rsidRPr="004A611A">
        <w:rPr>
          <w:szCs w:val="21"/>
        </w:rPr>
        <w:t>羽，牛、羊、猪</w:t>
      </w:r>
      <w:r w:rsidRPr="004A611A">
        <w:rPr>
          <w:szCs w:val="21"/>
        </w:rPr>
        <w:t>6</w:t>
      </w:r>
      <w:r w:rsidRPr="004A611A">
        <w:rPr>
          <w:szCs w:val="21"/>
        </w:rPr>
        <w:t>头，产奶动物</w:t>
      </w:r>
      <w:r w:rsidRPr="004A611A">
        <w:rPr>
          <w:szCs w:val="21"/>
        </w:rPr>
        <w:t>10</w:t>
      </w:r>
      <w:r w:rsidRPr="004A611A">
        <w:rPr>
          <w:szCs w:val="21"/>
        </w:rPr>
        <w:t>头。</w:t>
      </w:r>
    </w:p>
    <w:p w:rsidR="001843C2" w:rsidRPr="004A611A" w:rsidRDefault="001843C2" w:rsidP="001843C2">
      <w:pPr>
        <w:adjustRightInd w:val="0"/>
        <w:snapToGrid w:val="0"/>
        <w:spacing w:line="360" w:lineRule="auto"/>
        <w:ind w:firstLineChars="200" w:firstLine="420"/>
        <w:rPr>
          <w:szCs w:val="21"/>
        </w:rPr>
      </w:pPr>
      <w:r w:rsidRPr="004A611A">
        <w:rPr>
          <w:szCs w:val="21"/>
        </w:rPr>
        <w:t>采样时间设置，最短不能少于</w:t>
      </w:r>
      <w:r w:rsidRPr="004A611A">
        <w:rPr>
          <w:szCs w:val="21"/>
        </w:rPr>
        <w:t>3</w:t>
      </w:r>
      <w:r w:rsidRPr="004A611A">
        <w:rPr>
          <w:szCs w:val="21"/>
        </w:rPr>
        <w:t>小时，最长不超过</w:t>
      </w:r>
      <w:r w:rsidRPr="004A611A">
        <w:rPr>
          <w:szCs w:val="21"/>
        </w:rPr>
        <w:t>12</w:t>
      </w:r>
      <w:r w:rsidRPr="004A611A">
        <w:rPr>
          <w:szCs w:val="21"/>
        </w:rPr>
        <w:t>小时。一般来说，家禽约</w:t>
      </w:r>
      <w:r w:rsidRPr="004A611A">
        <w:rPr>
          <w:szCs w:val="21"/>
        </w:rPr>
        <w:t>6</w:t>
      </w:r>
      <w:r w:rsidRPr="004A611A">
        <w:rPr>
          <w:szCs w:val="21"/>
        </w:rPr>
        <w:t>小时，牛、羊、猪约</w:t>
      </w:r>
      <w:r w:rsidRPr="004A611A">
        <w:rPr>
          <w:szCs w:val="21"/>
        </w:rPr>
        <w:t>12</w:t>
      </w:r>
      <w:r w:rsidRPr="004A611A">
        <w:rPr>
          <w:szCs w:val="21"/>
        </w:rPr>
        <w:t>小时；奶约</w:t>
      </w:r>
      <w:r w:rsidRPr="004A611A">
        <w:rPr>
          <w:szCs w:val="21"/>
        </w:rPr>
        <w:t>12</w:t>
      </w:r>
      <w:r w:rsidRPr="004A611A">
        <w:rPr>
          <w:szCs w:val="21"/>
        </w:rPr>
        <w:t>小时。</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（七）样品测定</w:t>
      </w:r>
      <w:r w:rsidRPr="003E2FA3">
        <w:rPr>
          <w:b/>
          <w:sz w:val="28"/>
          <w:szCs w:val="28"/>
        </w:rPr>
        <w:t xml:space="preserve">  </w:t>
      </w:r>
    </w:p>
    <w:p w:rsidR="001843C2" w:rsidRPr="004A611A" w:rsidRDefault="001843C2" w:rsidP="001843C2">
      <w:pPr>
        <w:adjustRightInd w:val="0"/>
        <w:snapToGrid w:val="0"/>
        <w:spacing w:line="360" w:lineRule="auto"/>
        <w:ind w:firstLineChars="200" w:firstLine="420"/>
        <w:rPr>
          <w:szCs w:val="21"/>
        </w:rPr>
      </w:pPr>
      <w:r w:rsidRPr="004A611A">
        <w:rPr>
          <w:szCs w:val="21"/>
        </w:rPr>
        <w:t>样品中残留量必须采用经验证的定量检测方法进行检测。每种组织均进行平行双样品测定。</w:t>
      </w:r>
    </w:p>
    <w:p w:rsidR="001843C2" w:rsidRPr="003E2FA3" w:rsidRDefault="001843C2" w:rsidP="001843C2">
      <w:pPr>
        <w:adjustRightInd w:val="0"/>
        <w:snapToGrid w:val="0"/>
        <w:spacing w:line="360" w:lineRule="auto"/>
        <w:ind w:firstLineChars="200" w:firstLine="562"/>
        <w:outlineLvl w:val="1"/>
        <w:rPr>
          <w:b/>
          <w:sz w:val="28"/>
          <w:szCs w:val="28"/>
        </w:rPr>
      </w:pPr>
      <w:r w:rsidRPr="003E2FA3">
        <w:rPr>
          <w:b/>
          <w:sz w:val="28"/>
          <w:szCs w:val="28"/>
        </w:rPr>
        <w:t>（八）数据汇总与分析</w:t>
      </w:r>
    </w:p>
    <w:p w:rsidR="001843C2" w:rsidRPr="004A611A" w:rsidRDefault="001843C2" w:rsidP="001843C2">
      <w:pPr>
        <w:adjustRightInd w:val="0"/>
        <w:snapToGrid w:val="0"/>
        <w:spacing w:line="360" w:lineRule="auto"/>
        <w:ind w:firstLineChars="200" w:firstLine="420"/>
        <w:rPr>
          <w:szCs w:val="21"/>
        </w:rPr>
      </w:pPr>
      <w:r w:rsidRPr="004A611A">
        <w:rPr>
          <w:szCs w:val="21"/>
        </w:rPr>
        <w:t>编制靶动物残留消除规律数据汇总表，列出每个时间点的全部实测数据。</w:t>
      </w:r>
    </w:p>
    <w:p w:rsidR="001843C2" w:rsidRPr="004A611A" w:rsidRDefault="001843C2" w:rsidP="001843C2">
      <w:pPr>
        <w:adjustRightInd w:val="0"/>
        <w:snapToGrid w:val="0"/>
        <w:spacing w:line="360" w:lineRule="auto"/>
        <w:ind w:firstLineChars="200" w:firstLine="420"/>
        <w:rPr>
          <w:szCs w:val="21"/>
        </w:rPr>
      </w:pPr>
      <w:r w:rsidRPr="004A611A">
        <w:rPr>
          <w:szCs w:val="21"/>
        </w:rPr>
        <w:t>靶动物组织中残留休药期可以采用</w:t>
      </w:r>
      <w:r w:rsidRPr="004A611A">
        <w:rPr>
          <w:szCs w:val="21"/>
        </w:rPr>
        <w:t>WT1.4</w:t>
      </w:r>
      <w:r w:rsidRPr="004A611A">
        <w:rPr>
          <w:szCs w:val="21"/>
        </w:rPr>
        <w:t>软件（</w:t>
      </w:r>
      <w:r w:rsidRPr="004A611A">
        <w:rPr>
          <w:szCs w:val="21"/>
        </w:rPr>
        <w:t>Withdrawal-Time Calculation Program</w:t>
      </w:r>
      <w:r w:rsidRPr="004A611A">
        <w:rPr>
          <w:szCs w:val="21"/>
        </w:rPr>
        <w:t>）或相当的程序进行计算，奶中残留休药期可以采用</w:t>
      </w:r>
      <w:r w:rsidRPr="004A611A">
        <w:rPr>
          <w:szCs w:val="21"/>
        </w:rPr>
        <w:t>WTM1.4</w:t>
      </w:r>
      <w:r w:rsidRPr="004A611A">
        <w:rPr>
          <w:szCs w:val="21"/>
        </w:rPr>
        <w:t>软件（</w:t>
      </w:r>
      <w:r w:rsidRPr="004A611A">
        <w:rPr>
          <w:szCs w:val="21"/>
        </w:rPr>
        <w:t>Withdrawal-Time Calculation Program for Milk</w:t>
      </w:r>
      <w:r w:rsidRPr="004A611A">
        <w:rPr>
          <w:szCs w:val="21"/>
        </w:rPr>
        <w:t>）或相当的程序进行计算。确定制定休药期的靶组织和最终推荐的休药期。</w:t>
      </w:r>
    </w:p>
    <w:p w:rsidR="001843C2" w:rsidRPr="003E2FA3" w:rsidRDefault="001843C2" w:rsidP="001843C2">
      <w:pPr>
        <w:adjustRightInd w:val="0"/>
        <w:snapToGrid w:val="0"/>
        <w:spacing w:line="360" w:lineRule="auto"/>
        <w:ind w:firstLineChars="200" w:firstLine="560"/>
        <w:outlineLvl w:val="0"/>
        <w:rPr>
          <w:rFonts w:eastAsia="黑体"/>
          <w:sz w:val="28"/>
          <w:szCs w:val="28"/>
        </w:rPr>
      </w:pPr>
      <w:r w:rsidRPr="003E2FA3">
        <w:rPr>
          <w:rFonts w:eastAsia="黑体"/>
          <w:sz w:val="28"/>
          <w:szCs w:val="28"/>
        </w:rPr>
        <w:t>四、试验报告</w:t>
      </w:r>
    </w:p>
    <w:p w:rsidR="001843C2" w:rsidRPr="004A611A" w:rsidRDefault="001843C2" w:rsidP="001843C2">
      <w:pPr>
        <w:adjustRightInd w:val="0"/>
        <w:snapToGrid w:val="0"/>
        <w:spacing w:line="360" w:lineRule="auto"/>
        <w:ind w:firstLineChars="200" w:firstLine="420"/>
        <w:rPr>
          <w:szCs w:val="21"/>
        </w:rPr>
      </w:pPr>
      <w:r w:rsidRPr="004A611A">
        <w:rPr>
          <w:szCs w:val="21"/>
        </w:rPr>
        <w:t>残留检测方法的确认试验可以和残留消除试验合并撰写报告，也可以单独按照《兽药残</w:t>
      </w:r>
      <w:r w:rsidRPr="004A611A">
        <w:rPr>
          <w:szCs w:val="21"/>
        </w:rPr>
        <w:lastRenderedPageBreak/>
        <w:t>留检测方法验证指导原则》规定的格式撰写报告。报告应符合</w:t>
      </w:r>
      <w:r w:rsidRPr="004A611A">
        <w:rPr>
          <w:szCs w:val="21"/>
        </w:rPr>
        <w:t>GLP</w:t>
      </w:r>
      <w:r w:rsidRPr="004A611A">
        <w:rPr>
          <w:szCs w:val="21"/>
        </w:rPr>
        <w:t>和</w:t>
      </w:r>
      <w:r w:rsidRPr="004A611A">
        <w:rPr>
          <w:szCs w:val="21"/>
        </w:rPr>
        <w:t>GCP</w:t>
      </w:r>
      <w:r w:rsidRPr="004A611A">
        <w:rPr>
          <w:szCs w:val="21"/>
        </w:rPr>
        <w:t>的质量管理要求。</w:t>
      </w:r>
    </w:p>
    <w:p w:rsidR="00751717" w:rsidRPr="001843C2" w:rsidRDefault="001843C2" w:rsidP="001843C2">
      <w:r w:rsidRPr="003E2FA3">
        <w:rPr>
          <w:rFonts w:eastAsia="仿宋_GB2312"/>
          <w:b/>
          <w:bCs/>
          <w:kern w:val="44"/>
          <w:szCs w:val="32"/>
        </w:rPr>
        <w:br w:type="page"/>
      </w:r>
    </w:p>
    <w:sectPr w:rsidR="00751717" w:rsidRPr="001843C2">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1843C2"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1843C2"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1843C2"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C6BC3"/>
    <w:rsid w:val="000D43D9"/>
    <w:rsid w:val="001435B7"/>
    <w:rsid w:val="001843C2"/>
    <w:rsid w:val="001A0A26"/>
    <w:rsid w:val="001E143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A3740"/>
    <w:rsid w:val="00AB23AD"/>
    <w:rsid w:val="00AD2DBD"/>
    <w:rsid w:val="00B40DAE"/>
    <w:rsid w:val="00BA22A3"/>
    <w:rsid w:val="00BB5FDF"/>
    <w:rsid w:val="00BD1D95"/>
    <w:rsid w:val="00BF51B1"/>
    <w:rsid w:val="00C53F10"/>
    <w:rsid w:val="00DC3765"/>
    <w:rsid w:val="00EC33AC"/>
    <w:rsid w:val="00EF0D99"/>
    <w:rsid w:val="00EF3E30"/>
    <w:rsid w:val="00F56C7D"/>
    <w:rsid w:val="00FE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2024-03-19T00:13:00Z</dcterms:created>
  <dcterms:modified xsi:type="dcterms:W3CDTF">2024-03-19T00:13:00Z</dcterms:modified>
</cp:coreProperties>
</file>